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56911A" w14:textId="77777777" w:rsidR="000763B1" w:rsidRPr="000763B1" w:rsidRDefault="000763B1" w:rsidP="000763B1">
      <w:pPr>
        <w:spacing w:line="480" w:lineRule="auto"/>
        <w:rPr>
          <w:b/>
          <w:bCs/>
        </w:rPr>
      </w:pPr>
      <w:bookmarkStart w:id="0" w:name="_GoBack"/>
      <w:bookmarkEnd w:id="0"/>
      <w:r w:rsidRPr="000763B1">
        <w:rPr>
          <w:b/>
          <w:bCs/>
        </w:rPr>
        <w:t>Differences in mental health service use between urban and rural areas of Australia</w:t>
      </w:r>
    </w:p>
    <w:p w14:paraId="420936A3" w14:textId="77777777" w:rsidR="000763B1" w:rsidRPr="000763B1" w:rsidRDefault="000763B1" w:rsidP="000763B1">
      <w:pPr>
        <w:spacing w:line="480" w:lineRule="auto"/>
      </w:pPr>
    </w:p>
    <w:p w14:paraId="7681DAC9" w14:textId="77777777" w:rsidR="000763B1" w:rsidRPr="000763B1" w:rsidRDefault="000763B1" w:rsidP="000763B1">
      <w:pPr>
        <w:spacing w:line="480" w:lineRule="auto"/>
      </w:pPr>
      <w:r w:rsidRPr="000763B1">
        <w:t>Philip J. Batterham</w:t>
      </w:r>
      <w:r w:rsidRPr="000763B1">
        <w:rPr>
          <w:vertAlign w:val="superscript"/>
        </w:rPr>
        <w:t>1</w:t>
      </w:r>
      <w:r w:rsidRPr="000763B1">
        <w:t>, Dominique Kazan</w:t>
      </w:r>
      <w:r w:rsidRPr="000763B1">
        <w:rPr>
          <w:vertAlign w:val="superscript"/>
        </w:rPr>
        <w:t>1</w:t>
      </w:r>
      <w:r w:rsidRPr="000763B1">
        <w:t>, Michelle Banfield</w:t>
      </w:r>
      <w:r w:rsidRPr="000763B1">
        <w:rPr>
          <w:vertAlign w:val="superscript"/>
        </w:rPr>
        <w:t>1</w:t>
      </w:r>
      <w:r w:rsidRPr="000763B1">
        <w:t>, Kimberly Brown</w:t>
      </w:r>
      <w:r w:rsidRPr="000763B1">
        <w:rPr>
          <w:vertAlign w:val="superscript"/>
        </w:rPr>
        <w:t>1</w:t>
      </w:r>
    </w:p>
    <w:p w14:paraId="6EB34D79" w14:textId="77777777" w:rsidR="000763B1" w:rsidRPr="000763B1" w:rsidRDefault="000763B1" w:rsidP="000763B1">
      <w:pPr>
        <w:spacing w:line="480" w:lineRule="auto"/>
      </w:pPr>
    </w:p>
    <w:p w14:paraId="6FB00FEB" w14:textId="77777777" w:rsidR="000763B1" w:rsidRPr="000763B1" w:rsidRDefault="000763B1" w:rsidP="000763B1">
      <w:pPr>
        <w:spacing w:line="480" w:lineRule="auto"/>
      </w:pPr>
      <w:r w:rsidRPr="000763B1">
        <w:rPr>
          <w:vertAlign w:val="superscript"/>
        </w:rPr>
        <w:t>1</w:t>
      </w:r>
      <w:r w:rsidRPr="000763B1">
        <w:t xml:space="preserve"> Centre for Mental Health Research, Research School of Population Health, College of Health and Medicine, The Australian National University, Canberra Australia</w:t>
      </w:r>
    </w:p>
    <w:p w14:paraId="505F990A" w14:textId="77777777" w:rsidR="000763B1" w:rsidRPr="000763B1" w:rsidRDefault="000763B1" w:rsidP="000763B1">
      <w:pPr>
        <w:spacing w:line="480" w:lineRule="auto"/>
      </w:pPr>
    </w:p>
    <w:p w14:paraId="7E7EF968" w14:textId="77777777" w:rsidR="000763B1" w:rsidRPr="000763B1" w:rsidRDefault="000763B1" w:rsidP="000763B1">
      <w:pPr>
        <w:spacing w:line="480" w:lineRule="auto"/>
      </w:pPr>
      <w:r w:rsidRPr="000763B1">
        <w:rPr>
          <w:i/>
          <w:iCs/>
        </w:rPr>
        <w:t>Running head</w:t>
      </w:r>
      <w:r w:rsidRPr="000763B1">
        <w:t>: Rural mental health services</w:t>
      </w:r>
    </w:p>
    <w:p w14:paraId="683316BF" w14:textId="4A0E54DB" w:rsidR="000763B1" w:rsidRPr="000763B1" w:rsidRDefault="000763B1" w:rsidP="000763B1">
      <w:pPr>
        <w:spacing w:line="480" w:lineRule="auto"/>
      </w:pPr>
      <w:r w:rsidRPr="000763B1">
        <w:rPr>
          <w:i/>
          <w:iCs/>
        </w:rPr>
        <w:t>Word count</w:t>
      </w:r>
      <w:r w:rsidRPr="000763B1">
        <w:t>: 3,</w:t>
      </w:r>
      <w:r w:rsidR="004639F4">
        <w:t>50</w:t>
      </w:r>
      <w:r w:rsidR="004639F4" w:rsidRPr="000763B1">
        <w:t xml:space="preserve">6 </w:t>
      </w:r>
      <w:r w:rsidRPr="000763B1">
        <w:t xml:space="preserve">(body); </w:t>
      </w:r>
      <w:r w:rsidR="004639F4" w:rsidRPr="000763B1">
        <w:t>59</w:t>
      </w:r>
      <w:r w:rsidR="004639F4">
        <w:t>4</w:t>
      </w:r>
      <w:r w:rsidR="004639F4" w:rsidRPr="000763B1">
        <w:t xml:space="preserve">5 </w:t>
      </w:r>
      <w:r w:rsidRPr="000763B1">
        <w:t xml:space="preserve">(all sections) </w:t>
      </w:r>
    </w:p>
    <w:p w14:paraId="0AFC82EB" w14:textId="63CBCB87" w:rsidR="000763B1" w:rsidRPr="000763B1" w:rsidRDefault="000763B1" w:rsidP="000763B1">
      <w:pPr>
        <w:spacing w:line="480" w:lineRule="auto"/>
      </w:pPr>
      <w:r w:rsidRPr="000763B1">
        <w:rPr>
          <w:i/>
        </w:rPr>
        <w:t>Date</w:t>
      </w:r>
      <w:r w:rsidRPr="000763B1">
        <w:t xml:space="preserve">: </w:t>
      </w:r>
      <w:r w:rsidR="004639F4">
        <w:t>11 December 2019</w:t>
      </w:r>
    </w:p>
    <w:p w14:paraId="14372992" w14:textId="77777777" w:rsidR="000763B1" w:rsidRPr="000763B1" w:rsidRDefault="000763B1" w:rsidP="000763B1">
      <w:pPr>
        <w:spacing w:line="480" w:lineRule="auto"/>
      </w:pPr>
      <w:r w:rsidRPr="000763B1">
        <w:rPr>
          <w:i/>
          <w:iCs/>
        </w:rPr>
        <w:t>Funding</w:t>
      </w:r>
      <w:r w:rsidRPr="000763B1">
        <w:t>: PJB is supported by National Health and Medical Research Council (NHMRC) fellowship 1158707. MB is supported by Medical Research Future Fund (MRFF) fellowship 1150698. This research was supported by a grant from the NHMRC (1043952) and grants from the Ian Potter Foundation and Calvert Jones Foundation (Sustainable Farms Project).</w:t>
      </w:r>
    </w:p>
    <w:p w14:paraId="2342825C" w14:textId="77777777" w:rsidR="000763B1" w:rsidRPr="000763B1" w:rsidRDefault="000763B1" w:rsidP="000763B1">
      <w:pPr>
        <w:spacing w:line="480" w:lineRule="auto"/>
      </w:pPr>
      <w:r w:rsidRPr="000763B1">
        <w:rPr>
          <w:i/>
        </w:rPr>
        <w:t>Conflict of interest</w:t>
      </w:r>
      <w:r w:rsidRPr="000763B1">
        <w:t>: None</w:t>
      </w:r>
    </w:p>
    <w:p w14:paraId="498FBF5D" w14:textId="77777777" w:rsidR="000763B1" w:rsidRPr="000763B1" w:rsidRDefault="000763B1" w:rsidP="000763B1">
      <w:pPr>
        <w:spacing w:line="480" w:lineRule="auto"/>
      </w:pPr>
    </w:p>
    <w:p w14:paraId="16161359" w14:textId="77777777" w:rsidR="000763B1" w:rsidRDefault="000763B1">
      <w:pPr>
        <w:spacing w:after="200" w:line="276" w:lineRule="auto"/>
        <w:rPr>
          <w:b/>
          <w:bCs/>
        </w:rPr>
      </w:pPr>
      <w:r>
        <w:rPr>
          <w:b/>
          <w:bCs/>
        </w:rPr>
        <w:br w:type="page"/>
      </w:r>
    </w:p>
    <w:p w14:paraId="6782500B" w14:textId="13C20A69" w:rsidR="00A230C6" w:rsidRPr="006E5042" w:rsidRDefault="00A230C6" w:rsidP="00A230C6">
      <w:pPr>
        <w:spacing w:line="480" w:lineRule="auto"/>
        <w:rPr>
          <w:b/>
          <w:bCs/>
        </w:rPr>
      </w:pPr>
      <w:r w:rsidRPr="006E5042">
        <w:rPr>
          <w:b/>
          <w:bCs/>
        </w:rPr>
        <w:lastRenderedPageBreak/>
        <w:t>Abstract</w:t>
      </w:r>
    </w:p>
    <w:p w14:paraId="0D459AA1" w14:textId="77777777" w:rsidR="00A230C6" w:rsidRDefault="00A230C6" w:rsidP="00A230C6">
      <w:pPr>
        <w:spacing w:line="480" w:lineRule="auto"/>
      </w:pPr>
    </w:p>
    <w:p w14:paraId="2BFEB435" w14:textId="27367727" w:rsidR="000C792B" w:rsidRDefault="000C792B" w:rsidP="000C792B">
      <w:pPr>
        <w:spacing w:after="200" w:line="480" w:lineRule="auto"/>
        <w:rPr>
          <w:bCs/>
        </w:rPr>
      </w:pPr>
      <w:r w:rsidRPr="000C792B">
        <w:rPr>
          <w:bCs/>
        </w:rPr>
        <w:t xml:space="preserve">Objective: </w:t>
      </w:r>
      <w:r>
        <w:rPr>
          <w:bCs/>
        </w:rPr>
        <w:t>To examine differences in use of mental health services between residents of rural, regional and metropolitan areas of Australia in a population-based sample of adults who meet clinical criteria for a mental disorder.</w:t>
      </w:r>
    </w:p>
    <w:p w14:paraId="0B811994" w14:textId="29F26624" w:rsidR="000C792B" w:rsidRPr="000C792B" w:rsidRDefault="000C792B" w:rsidP="000C792B">
      <w:pPr>
        <w:spacing w:after="200" w:line="480" w:lineRule="auto"/>
        <w:rPr>
          <w:bCs/>
        </w:rPr>
      </w:pPr>
      <w:r w:rsidRPr="000C792B">
        <w:rPr>
          <w:bCs/>
        </w:rPr>
        <w:t>Method: Participants in this study were drawn from the Assessing Mental Health survey</w:t>
      </w:r>
      <w:r>
        <w:rPr>
          <w:bCs/>
        </w:rPr>
        <w:t xml:space="preserve">, which included </w:t>
      </w:r>
      <w:r>
        <w:t xml:space="preserve">2374 participants who met criteria for one or more mental disorders or reported suicidal ideation in the past month. Rates of self-reported use of specific services for mental health problems (doctor/GP, social worker, hospital, psychologist, psychiatrist or counsellor) were compared between areas of residence, with subsequent logistic regression analyses used to account for potential confounds for variations in </w:t>
      </w:r>
      <w:r>
        <w:rPr>
          <w:bCs/>
        </w:rPr>
        <w:t>service use.</w:t>
      </w:r>
    </w:p>
    <w:p w14:paraId="354626E8" w14:textId="158AA63F" w:rsidR="000C792B" w:rsidRPr="000C792B" w:rsidRDefault="000C792B" w:rsidP="000C792B">
      <w:pPr>
        <w:spacing w:after="200" w:line="480" w:lineRule="auto"/>
        <w:rPr>
          <w:bCs/>
        </w:rPr>
      </w:pPr>
      <w:r w:rsidRPr="000C792B">
        <w:rPr>
          <w:bCs/>
        </w:rPr>
        <w:t>Results:</w:t>
      </w:r>
      <w:r>
        <w:rPr>
          <w:bCs/>
        </w:rPr>
        <w:t xml:space="preserve"> </w:t>
      </w:r>
      <w:r>
        <w:t xml:space="preserve">There were no differences in overall rates of use of professional services for mental health problems. There were also no significant differences in help seeking from specific sources, with the exception of psychologists. People in rural areas were 26% less likely to report having sought help from a psychologist in the past year than those in metropolitan areas (18% vs 24%). </w:t>
      </w:r>
      <w:r w:rsidR="00985051">
        <w:t>This discrepancy was not accounted for by stigma, but attenuated after adjustment for severity of psychological distress and demographic factors.</w:t>
      </w:r>
    </w:p>
    <w:p w14:paraId="353DF26B" w14:textId="2659DB81" w:rsidR="000C792B" w:rsidRPr="000C792B" w:rsidRDefault="000C792B" w:rsidP="00985051">
      <w:pPr>
        <w:spacing w:after="200" w:line="480" w:lineRule="auto"/>
        <w:rPr>
          <w:bCs/>
        </w:rPr>
      </w:pPr>
      <w:r w:rsidRPr="000C792B">
        <w:rPr>
          <w:bCs/>
        </w:rPr>
        <w:t>Conclusion:</w:t>
      </w:r>
      <w:r w:rsidR="00985051">
        <w:rPr>
          <w:bCs/>
        </w:rPr>
        <w:t xml:space="preserve"> </w:t>
      </w:r>
      <w:r w:rsidR="00985051">
        <w:t>L</w:t>
      </w:r>
      <w:r w:rsidR="00985051" w:rsidRPr="00D31DF8">
        <w:t>ittle evidence of differences in help seeking in rural Austr</w:t>
      </w:r>
      <w:r w:rsidR="00985051">
        <w:t xml:space="preserve">alia compared to urban centres </w:t>
      </w:r>
      <w:proofErr w:type="gramStart"/>
      <w:r w:rsidR="00985051">
        <w:t>was</w:t>
      </w:r>
      <w:proofErr w:type="gramEnd"/>
      <w:r w:rsidR="00985051">
        <w:t xml:space="preserve"> observed, with the important exception of psychological service use. Further research is needed to characterise disparities in </w:t>
      </w:r>
      <w:r w:rsidR="00985051" w:rsidRPr="00A025FA">
        <w:t xml:space="preserve">quality </w:t>
      </w:r>
      <w:r w:rsidR="00985051">
        <w:t>and accessibility of care</w:t>
      </w:r>
      <w:r w:rsidR="00985051" w:rsidRPr="00A025FA">
        <w:t>.</w:t>
      </w:r>
    </w:p>
    <w:p w14:paraId="4249C3CB" w14:textId="088ED524" w:rsidR="00A230C6" w:rsidRPr="002C33ED" w:rsidRDefault="002C33ED" w:rsidP="000C792B">
      <w:pPr>
        <w:spacing w:after="200" w:line="480" w:lineRule="auto"/>
        <w:rPr>
          <w:bCs/>
        </w:rPr>
      </w:pPr>
      <w:r w:rsidRPr="002C33ED">
        <w:rPr>
          <w:bCs/>
          <w:i/>
        </w:rPr>
        <w:t>Key words</w:t>
      </w:r>
      <w:r w:rsidRPr="002C33ED">
        <w:rPr>
          <w:bCs/>
        </w:rPr>
        <w:t>: rural, mental health, service use, psychological services</w:t>
      </w:r>
      <w:r w:rsidR="00A230C6" w:rsidRPr="002C33ED">
        <w:rPr>
          <w:bCs/>
        </w:rPr>
        <w:br w:type="page"/>
      </w:r>
    </w:p>
    <w:p w14:paraId="5AF6E2E3" w14:textId="478328FD" w:rsidR="00F81BF6" w:rsidRDefault="00F24570" w:rsidP="00F81BF6">
      <w:pPr>
        <w:spacing w:line="480" w:lineRule="auto"/>
      </w:pPr>
      <w:r>
        <w:lastRenderedPageBreak/>
        <w:t xml:space="preserve">Health inequities present in rural Australia </w:t>
      </w:r>
      <w:r w:rsidR="00A60F38">
        <w:t>may be</w:t>
      </w:r>
      <w:r>
        <w:t xml:space="preserve"> compounded by structural limitations affecting </w:t>
      </w:r>
      <w:r w:rsidR="00F81BF6">
        <w:t>accessibility</w:t>
      </w:r>
      <w:r>
        <w:t xml:space="preserve">, affordability and timeliness of services </w:t>
      </w:r>
      <w:r w:rsidR="004A5569">
        <w:fldChar w:fldCharType="begin"/>
      </w:r>
      <w:r w:rsidR="0074451B">
        <w:instrText xml:space="preserve"> ADDIN EN.CITE &lt;EndNote&gt;&lt;Cite&gt;&lt;Author&gt;Fitzpatrick&lt;/Author&gt;&lt;Year&gt;2017&lt;/Year&gt;&lt;RecNum&gt;4&lt;/RecNum&gt;&lt;DisplayText&gt;(Fitzpatrick, Perkins, Luland, Brown, &amp;amp; Corvan, 2017)&lt;/DisplayText&gt;&lt;record&gt;&lt;rec-number&gt;4&lt;/rec-number&gt;&lt;foreign-keys&gt;&lt;key app="EN" db-id="rvp0dvwpadt0d3exvpn5rrfq5sdt0aawe595" timestamp="1560904466"&gt;4&lt;/key&gt;&lt;/foreign-keys&gt;&lt;ref-type name="Journal Article"&gt;17&lt;/ref-type&gt;&lt;contributors&gt;&lt;authors&gt;&lt;author&gt;Fitzpatrick, Scott J&lt;/author&gt;&lt;author&gt;Perkins, David&lt;/author&gt;&lt;author&gt;Luland, Teresa&lt;/author&gt;&lt;author&gt;Brown, Dale&lt;/author&gt;&lt;author&gt;Corvan, Eamonn&lt;/author&gt;&lt;/authors&gt;&lt;/contributors&gt;&lt;titles&gt;&lt;title&gt;The effect of context in rural mental health care: Understanding integrated services in a small town&lt;/title&gt;&lt;secondary-title&gt;Health &amp;amp; place&lt;/secondary-title&gt;&lt;/titles&gt;&lt;periodical&gt;&lt;full-title&gt;Health &amp;amp; place&lt;/full-title&gt;&lt;/periodical&gt;&lt;pages&gt;70-76&lt;/pages&gt;&lt;volume&gt;45&lt;/volume&gt;&lt;dates&gt;&lt;year&gt;2017&lt;/year&gt;&lt;/dates&gt;&lt;isbn&gt;1353-8292&lt;/isbn&gt;&lt;urls&gt;&lt;/urls&gt;&lt;/record&gt;&lt;/Cite&gt;&lt;/EndNote&gt;</w:instrText>
      </w:r>
      <w:r w:rsidR="004A5569">
        <w:fldChar w:fldCharType="separate"/>
      </w:r>
      <w:r w:rsidR="002C33ED">
        <w:rPr>
          <w:noProof/>
        </w:rPr>
        <w:t>(Fitzpatrick, Perkins, Luland, Brown, &amp; Corvan, 2017)</w:t>
      </w:r>
      <w:r w:rsidR="004A5569">
        <w:fldChar w:fldCharType="end"/>
      </w:r>
      <w:r>
        <w:t>.</w:t>
      </w:r>
      <w:r w:rsidR="00F705C9">
        <w:t xml:space="preserve"> </w:t>
      </w:r>
      <w:r w:rsidR="00F81BF6">
        <w:t>Accessibility is defined as “a service characteristic, experienced</w:t>
      </w:r>
    </w:p>
    <w:p w14:paraId="67343873" w14:textId="2B37D110" w:rsidR="00270FA2" w:rsidRDefault="00F81BF6" w:rsidP="00F81BF6">
      <w:pPr>
        <w:spacing w:line="480" w:lineRule="auto"/>
      </w:pPr>
      <w:r>
        <w:t xml:space="preserve">by patients and their </w:t>
      </w:r>
      <w:proofErr w:type="spellStart"/>
      <w:r>
        <w:t>carers</w:t>
      </w:r>
      <w:proofErr w:type="spellEnd"/>
      <w:r>
        <w:t xml:space="preserve">, which enables them to receive care where and when it is needed” </w:t>
      </w:r>
      <w:r>
        <w:fldChar w:fldCharType="begin"/>
      </w:r>
      <w:r>
        <w:instrText xml:space="preserve"> ADDIN EN.CITE &lt;EndNote&gt;&lt;Cite&gt;&lt;Author&gt;Thornicroft&lt;/Author&gt;&lt;Year&gt;2006&lt;/Year&gt;&lt;RecNum&gt;67&lt;/RecNum&gt;&lt;DisplayText&gt;(Thornicroft &amp;amp; Tansella, 2006)&lt;/DisplayText&gt;&lt;record&gt;&lt;rec-number&gt;67&lt;/rec-number&gt;&lt;foreign-keys&gt;&lt;key app="EN" db-id="rvp0dvwpadt0d3exvpn5rrfq5sdt0aawe595" timestamp="1571375487"&gt;67&lt;/key&gt;&lt;/foreign-keys&gt;&lt;ref-type name="Book"&gt;6&lt;/ref-type&gt;&lt;contributors&gt;&lt;authors&gt;&lt;author&gt;Thornicroft, G.&lt;/author&gt;&lt;author&gt;Tansella, M.&lt;/author&gt;&lt;/authors&gt;&lt;/contributors&gt;&lt;titles&gt;&lt;title&gt;The mental health matrix: a manual to improve services&lt;/title&gt;&lt;/titles&gt;&lt;dates&gt;&lt;year&gt;2006&lt;/year&gt;&lt;/dates&gt;&lt;pub-location&gt;Cambridge UK&lt;/pub-location&gt;&lt;publisher&gt;Cambridge University Press&lt;/publisher&gt;&lt;urls&gt;&lt;/urls&gt;&lt;/record&gt;&lt;/Cite&gt;&lt;/EndNote&gt;</w:instrText>
      </w:r>
      <w:r>
        <w:fldChar w:fldCharType="separate"/>
      </w:r>
      <w:r>
        <w:rPr>
          <w:noProof/>
        </w:rPr>
        <w:t>(Thornicroft &amp; Tansella, 2006)</w:t>
      </w:r>
      <w:r>
        <w:fldChar w:fldCharType="end"/>
      </w:r>
      <w:r>
        <w:t xml:space="preserve">. </w:t>
      </w:r>
      <w:r w:rsidR="00F705C9">
        <w:t xml:space="preserve">There is a shortage of mental health services in rural and remote areas, with remote communities having access to less than a third of community health services afforded to metropolitan residents </w:t>
      </w:r>
      <w:r w:rsidR="004A5569">
        <w:fldChar w:fldCharType="begin"/>
      </w:r>
      <w:r w:rsidR="0074451B">
        <w:instrText xml:space="preserve"> ADDIN EN.CITE &lt;EndNote&gt;&lt;Cite&gt;&lt;Author&gt;Meadows&lt;/Author&gt;&lt;Year&gt;2015&lt;/Year&gt;&lt;RecNum&gt;5&lt;/RecNum&gt;&lt;DisplayText&gt;(Meadows, Enticott, Inder, Russell, &amp;amp; Gurr, 2015; Shorthouse &amp;amp; Stone, 2018)&lt;/DisplayText&gt;&lt;record&gt;&lt;rec-number&gt;5&lt;/rec-number&gt;&lt;foreign-keys&gt;&lt;key app="EN" db-id="rvp0dvwpadt0d3exvpn5rrfq5sdt0aawe595" timestamp="1560904466"&gt;5&lt;/key&gt;&lt;/foreign-keys&gt;&lt;ref-type name="Journal Article"&gt;17&lt;/ref-type&gt;&lt;contributors&gt;&lt;authors&gt;&lt;author&gt;Meadows, Graham N&lt;/author&gt;&lt;author&gt;Enticott, Joanne C&lt;/author&gt;&lt;author&gt;Inder, Brett&lt;/author&gt;&lt;author&gt;Russell, Grant M&lt;/author&gt;&lt;author&gt;Gurr, Roger %J Medical Journal of Australia&lt;/author&gt;&lt;/authors&gt;&lt;/contributors&gt;&lt;titles&gt;&lt;title&gt;Better access to mental health care and the failure of the Medicare principle of universality&lt;/title&gt;&lt;/titles&gt;&lt;pages&gt;190-194&lt;/pages&gt;&lt;volume&gt;202&lt;/volume&gt;&lt;number&gt;4&lt;/number&gt;&lt;dates&gt;&lt;year&gt;2015&lt;/year&gt;&lt;/dates&gt;&lt;isbn&gt;0025-729X&lt;/isbn&gt;&lt;urls&gt;&lt;/urls&gt;&lt;/record&gt;&lt;/Cite&gt;&lt;Cite&gt;&lt;Author&gt;Shorthouse&lt;/Author&gt;&lt;Year&gt;2018&lt;/Year&gt;&lt;RecNum&gt;6&lt;/RecNum&gt;&lt;record&gt;&lt;rec-number&gt;6&lt;/rec-number&gt;&lt;foreign-keys&gt;&lt;key app="EN" db-id="rvp0dvwpadt0d3exvpn5rrfq5sdt0aawe595" timestamp="1560904466"&gt;6&lt;/key&gt;&lt;/foreign-keys&gt;&lt;ref-type name="Journal Article"&gt;17&lt;/ref-type&gt;&lt;contributors&gt;&lt;authors&gt;&lt;author&gt;Shorthouse, Molly&lt;/author&gt;&lt;author&gt;Stone, Louise&lt;/author&gt;&lt;/authors&gt;&lt;/contributors&gt;&lt;titles&gt;&lt;title&gt;Inequity amplified: climate change, the Australian farmer, and mental health&lt;/title&gt;&lt;secondary-title&gt;The Medical Journal of Australia&lt;/secondary-title&gt;&lt;/titles&gt;&lt;periodical&gt;&lt;full-title&gt;The Medical Journal of Australia&lt;/full-title&gt;&lt;/periodical&gt;&lt;pages&gt;156-157&lt;/pages&gt;&lt;volume&gt;209&lt;/volume&gt;&lt;number&gt;4&lt;/number&gt;&lt;dates&gt;&lt;year&gt;2018&lt;/year&gt;&lt;/dates&gt;&lt;urls&gt;&lt;/urls&gt;&lt;/record&gt;&lt;/Cite&gt;&lt;/EndNote&gt;</w:instrText>
      </w:r>
      <w:r w:rsidR="004A5569">
        <w:fldChar w:fldCharType="separate"/>
      </w:r>
      <w:r w:rsidR="002C33ED">
        <w:rPr>
          <w:noProof/>
        </w:rPr>
        <w:t>(Meadows, Enticott, Inder, Russell, &amp; Gurr, 2015; Shorthouse &amp; Stone, 2018)</w:t>
      </w:r>
      <w:r w:rsidR="004A5569">
        <w:fldChar w:fldCharType="end"/>
      </w:r>
      <w:r w:rsidR="00F705C9">
        <w:t>.</w:t>
      </w:r>
      <w:r w:rsidR="00F24570">
        <w:t xml:space="preserve"> Rural residents have reported delaying help-seeking for mental health symptoms at a rate more than double of a similar urban health study </w:t>
      </w:r>
      <w:r w:rsidR="004A5569">
        <w:fldChar w:fldCharType="begin"/>
      </w:r>
      <w:r w:rsidR="0074451B">
        <w:instrText xml:space="preserve"> ADDIN EN.CITE &lt;EndNote&gt;&lt;Cite&gt;&lt;Author&gt;Green&lt;/Author&gt;&lt;Year&gt;2012&lt;/Year&gt;&lt;RecNum&gt;7&lt;/RecNum&gt;&lt;DisplayText&gt;(Green, Hunt, &amp;amp; Stain, 2012; Thompson, Hunt, &amp;amp; Issakidis, 2004)&lt;/DisplayText&gt;&lt;record&gt;&lt;rec-number&gt;7&lt;/rec-number&gt;&lt;foreign-keys&gt;&lt;key app="EN" db-id="rvp0dvwpadt0d3exvpn5rrfq5sdt0aawe595" timestamp="1560904466"&gt;7&lt;/key&gt;&lt;/foreign-keys&gt;&lt;ref-type name="Journal Article"&gt;17&lt;/ref-type&gt;&lt;contributors&gt;&lt;authors&gt;&lt;author&gt;Green, Amanda C&lt;/author&gt;&lt;author&gt;Hunt, Caroline&lt;/author&gt;&lt;author&gt;Stain, Helen J&lt;/author&gt;&lt;/authors&gt;&lt;/contributors&gt;&lt;titles&gt;&lt;title&gt;The delay between symptom onset and seeking professional treatment for anxiety and depressive disorders in a rural Australian sample&lt;/title&gt;&lt;secondary-title&gt;Social psychiatry and psychiatric epidemiology&lt;/secondary-title&gt;&lt;/titles&gt;&lt;periodical&gt;&lt;full-title&gt;Social psychiatry and psychiatric epidemiology&lt;/full-title&gt;&lt;/periodical&gt;&lt;pages&gt;1475-1487&lt;/pages&gt;&lt;volume&gt;47&lt;/volume&gt;&lt;number&gt;9&lt;/number&gt;&lt;dates&gt;&lt;year&gt;2012&lt;/year&gt;&lt;/dates&gt;&lt;isbn&gt;0933-7954&lt;/isbn&gt;&lt;urls&gt;&lt;/urls&gt;&lt;/record&gt;&lt;/Cite&gt;&lt;Cite&gt;&lt;Author&gt;Thompson&lt;/Author&gt;&lt;Year&gt;2004&lt;/Year&gt;&lt;RecNum&gt;8&lt;/RecNum&gt;&lt;record&gt;&lt;rec-number&gt;8&lt;/rec-number&gt;&lt;foreign-keys&gt;&lt;key app="EN" db-id="rvp0dvwpadt0d3exvpn5rrfq5sdt0aawe595" timestamp="1560904466"&gt;8&lt;/key&gt;&lt;/foreign-keys&gt;&lt;ref-type name="Journal Article"&gt;17&lt;/ref-type&gt;&lt;contributors&gt;&lt;authors&gt;&lt;author&gt;Thompson, Anna&lt;/author&gt;&lt;author&gt;Hunt, Caroline&lt;/author&gt;&lt;author&gt;Issakidis, Cathy&lt;/author&gt;&lt;/authors&gt;&lt;/contributors&gt;&lt;titles&gt;&lt;title&gt;Why wait? Reasons for delay and prompts to seek help for mental health problems in an Australian clinical sample&lt;/title&gt;&lt;secondary-title&gt;Social psychiatry and psychiatric epidemiology&lt;/secondary-title&gt;&lt;/titles&gt;&lt;periodical&gt;&lt;full-title&gt;Social psychiatry and psychiatric epidemiology&lt;/full-title&gt;&lt;/periodical&gt;&lt;pages&gt;810-817&lt;/pages&gt;&lt;volume&gt;39&lt;/volume&gt;&lt;number&gt;10&lt;/number&gt;&lt;dates&gt;&lt;year&gt;2004&lt;/year&gt;&lt;/dates&gt;&lt;isbn&gt;0933-7954&lt;/isbn&gt;&lt;urls&gt;&lt;/urls&gt;&lt;/record&gt;&lt;/Cite&gt;&lt;/EndNote&gt;</w:instrText>
      </w:r>
      <w:r w:rsidR="004A5569">
        <w:fldChar w:fldCharType="separate"/>
      </w:r>
      <w:r w:rsidR="002C33ED">
        <w:rPr>
          <w:noProof/>
        </w:rPr>
        <w:t>(Green, Hunt, &amp; Stain, 2012; Thompson, Hunt, &amp; Issakidis, 2004)</w:t>
      </w:r>
      <w:r w:rsidR="004A5569">
        <w:fldChar w:fldCharType="end"/>
      </w:r>
      <w:r w:rsidR="00A230C6">
        <w:t xml:space="preserve">. Access to </w:t>
      </w:r>
      <w:r w:rsidR="00F24570">
        <w:t xml:space="preserve">specialist mental </w:t>
      </w:r>
      <w:r w:rsidR="00637DA7">
        <w:t>health practitioner</w:t>
      </w:r>
      <w:r w:rsidR="00A230C6">
        <w:t>s</w:t>
      </w:r>
      <w:r w:rsidR="00637DA7">
        <w:t>, such as a p</w:t>
      </w:r>
      <w:r w:rsidR="00F24570">
        <w:t>sychologist</w:t>
      </w:r>
      <w:r w:rsidR="00A230C6">
        <w:t>s</w:t>
      </w:r>
      <w:r w:rsidR="00F24570">
        <w:t xml:space="preserve">, is limited in </w:t>
      </w:r>
      <w:r w:rsidR="00270FA2">
        <w:t xml:space="preserve">the </w:t>
      </w:r>
      <w:r w:rsidR="00F24570">
        <w:t>rural setting</w:t>
      </w:r>
      <w:r w:rsidR="00270FA2">
        <w:t>,</w:t>
      </w:r>
      <w:r w:rsidR="00F24570">
        <w:t xml:space="preserve"> with </w:t>
      </w:r>
      <w:r w:rsidR="00270FA2">
        <w:t xml:space="preserve">research suggesting </w:t>
      </w:r>
      <w:r w:rsidR="00F24570">
        <w:t xml:space="preserve">residents depend more upon general practitioners (GPs) for mental health care </w:t>
      </w:r>
      <w:r w:rsidR="004A5569">
        <w:fldChar w:fldCharType="begin"/>
      </w:r>
      <w:r w:rsidR="0074451B">
        <w:instrText xml:space="preserve"> ADDIN EN.CITE &lt;EndNote&gt;&lt;Cite&gt;&lt;Author&gt;Highet&lt;/Author&gt;&lt;Year&gt;2002&lt;/Year&gt;&lt;RecNum&gt;9&lt;/RecNum&gt;&lt;DisplayText&gt;(Highet, Hickie, &amp;amp; Davenport, 2002)&lt;/DisplayText&gt;&lt;record&gt;&lt;rec-number&gt;9&lt;/rec-number&gt;&lt;foreign-keys&gt;&lt;key app="EN" db-id="rvp0dvwpadt0d3exvpn5rrfq5sdt0aawe595" timestamp="1560904467"&gt;9&lt;/key&gt;&lt;/foreign-keys&gt;&lt;ref-type name="Journal Article"&gt;17&lt;/ref-type&gt;&lt;contributors&gt;&lt;authors&gt;&lt;author&gt;Highet, Nicole J&lt;/author&gt;&lt;author&gt;Hickie, Ian B&lt;/author&gt;&lt;author&gt;Davenport, Tracey A&lt;/author&gt;&lt;/authors&gt;&lt;/contributors&gt;&lt;titles&gt;&lt;title&gt;Monitoring awareness of and attitudes to depression in Australia&lt;/title&gt;&lt;secondary-title&gt;Medical Journal of Australia&lt;/secondary-title&gt;&lt;/titles&gt;&lt;periodical&gt;&lt;full-title&gt;Medical Journal of Australia&lt;/full-title&gt;&lt;/periodical&gt;&lt;pages&gt;S63-S63&lt;/pages&gt;&lt;volume&gt;176&lt;/volume&gt;&lt;number&gt;10&lt;/number&gt;&lt;dates&gt;&lt;year&gt;2002&lt;/year&gt;&lt;/dates&gt;&lt;isbn&gt;0025-729X&lt;/isbn&gt;&lt;urls&gt;&lt;/urls&gt;&lt;/record&gt;&lt;/Cite&gt;&lt;/EndNote&gt;</w:instrText>
      </w:r>
      <w:r w:rsidR="004A5569">
        <w:fldChar w:fldCharType="separate"/>
      </w:r>
      <w:r w:rsidR="002C33ED">
        <w:rPr>
          <w:noProof/>
        </w:rPr>
        <w:t>(Highet, Hickie, &amp; Davenport, 2002)</w:t>
      </w:r>
      <w:r w:rsidR="004A5569">
        <w:fldChar w:fldCharType="end"/>
      </w:r>
      <w:r w:rsidR="00A230C6">
        <w:t xml:space="preserve">. </w:t>
      </w:r>
      <w:r w:rsidR="00270FA2">
        <w:t xml:space="preserve">Challenges for mental health professionals working in rural areas include isolated geography with limited flow of patients, service sparsity, career disadvantage, and reduced income and </w:t>
      </w:r>
      <w:r w:rsidR="00270FA2" w:rsidRPr="00F17F64">
        <w:t xml:space="preserve">status associated with practising in a rural area </w:t>
      </w:r>
      <w:r w:rsidR="00270FA2">
        <w:fldChar w:fldCharType="begin">
          <w:fldData xml:space="preserve">PEVuZE5vdGU+PENpdGU+PEF1dGhvcj5NYWNJc2FhYzwvQXV0aG9yPjxZZWFyPjIwMDA8L1llYXI+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</w:fldData>
        </w:fldChar>
      </w:r>
      <w:r w:rsidR="00270FA2">
        <w:instrText xml:space="preserve"> ADDIN EN.CITE </w:instrText>
      </w:r>
      <w:r w:rsidR="00270FA2">
        <w:fldChar w:fldCharType="begin">
          <w:fldData xml:space="preserve">PEVuZE5vdGU+PENpdGU+PEF1dGhvcj5NYWNJc2FhYzwvQXV0aG9yPjxZZWFyPjIwMDA8L1llYXI+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</w:fldData>
        </w:fldChar>
      </w:r>
      <w:r w:rsidR="00270FA2">
        <w:instrText xml:space="preserve"> ADDIN EN.CITE.DATA </w:instrText>
      </w:r>
      <w:r w:rsidR="00270FA2">
        <w:fldChar w:fldCharType="end"/>
      </w:r>
      <w:r w:rsidR="00270FA2">
        <w:fldChar w:fldCharType="separate"/>
      </w:r>
      <w:r w:rsidR="00270FA2">
        <w:rPr>
          <w:noProof/>
        </w:rPr>
        <w:t>(MacIsaac, Snowdon, Thompson, Crossland, &amp; Veitch, 2000; Malatzky &amp; Bourke, 2016; Sarah Larkins &amp; Gupta, 2013)</w:t>
      </w:r>
      <w:r w:rsidR="00270FA2">
        <w:fldChar w:fldCharType="end"/>
      </w:r>
      <w:r w:rsidR="00270FA2" w:rsidRPr="00F17F64">
        <w:t>.</w:t>
      </w:r>
    </w:p>
    <w:p w14:paraId="0F5CE8A7" w14:textId="77777777" w:rsidR="00344CE9" w:rsidRDefault="00344CE9" w:rsidP="00344CE9">
      <w:pPr>
        <w:spacing w:line="480" w:lineRule="auto"/>
      </w:pPr>
    </w:p>
    <w:p w14:paraId="7A560A62" w14:textId="08DAA27C" w:rsidR="001C4296" w:rsidRDefault="001C4296" w:rsidP="00344CE9">
      <w:pPr>
        <w:spacing w:line="480" w:lineRule="auto"/>
      </w:pPr>
      <w:r>
        <w:t>In additional to structural barriers, f</w:t>
      </w:r>
      <w:r w:rsidR="00F24570">
        <w:t>actors that have been consistently predictive of mental health service use in rural communities include sociodemographic factors, illness-related factors</w:t>
      </w:r>
      <w:r w:rsidR="00A230C6">
        <w:t>,</w:t>
      </w:r>
      <w:r w:rsidR="00F24570">
        <w:t xml:space="preserve"> and psychological</w:t>
      </w:r>
      <w:r w:rsidR="00A230C6">
        <w:t xml:space="preserve"> or </w:t>
      </w:r>
      <w:r w:rsidR="00F24570">
        <w:t xml:space="preserve">attitudinal factors </w:t>
      </w:r>
      <w:r w:rsidR="004A5569">
        <w:fldChar w:fldCharType="begin"/>
      </w:r>
      <w:r w:rsidR="0074451B">
        <w:instrText xml:space="preserve"> ADDIN EN.CITE &lt;EndNote&gt;&lt;Cite&gt;&lt;Author&gt;Jackson&lt;/Author&gt;&lt;Year&gt;2007&lt;/Year&gt;&lt;RecNum&gt;12&lt;/RecNum&gt;&lt;DisplayText&gt;(Jackson et al., 2007)&lt;/DisplayText&gt;&lt;record&gt;&lt;rec-number&gt;12&lt;/rec-number&gt;&lt;foreign-keys&gt;&lt;key app="EN" db-id="rvp0dvwpadt0d3exvpn5rrfq5sdt0aawe595" timestamp="1560904467"&gt;12&lt;/key&gt;&lt;/foreign-keys&gt;&lt;ref-type name="Journal Article"&gt;17&lt;/ref-type&gt;&lt;contributors&gt;&lt;authors&gt;&lt;author&gt;Jackson, Henry&lt;/author&gt;&lt;author&gt;Judd, Fiona&lt;/author&gt;&lt;author&gt;Komiti, Angela&lt;/author&gt;&lt;author&gt;Fraser, Caitlin&lt;/author&gt;&lt;author&gt;Murray, Greg&lt;/author&gt;&lt;author&gt;Robins, Garry&lt;/author&gt;&lt;author&gt;Pattison, Philippa&lt;/author&gt;&lt;author&gt;Wearing, Alex&lt;/author&gt;&lt;/authors&gt;&lt;/contributors&gt;&lt;titles&gt;&lt;title&gt;Mental health problems in rural contexts: What are the barriers to seeking help from professional providers?&lt;/title&gt;&lt;secondary-title&gt;Australian Psychologist&lt;/secondary-title&gt;&lt;/titles&gt;&lt;periodical&gt;&lt;full-title&gt;Australian Psychologist&lt;/full-title&gt;&lt;/periodical&gt;&lt;pages&gt;147-160&lt;/pages&gt;&lt;volume&gt;42&lt;/volume&gt;&lt;number&gt;2&lt;/number&gt;&lt;dates&gt;&lt;year&gt;2007&lt;/year&gt;&lt;/dates&gt;&lt;isbn&gt;0005-0067&lt;/isbn&gt;&lt;urls&gt;&lt;/urls&gt;&lt;/record&gt;&lt;/Cite&gt;&lt;/EndNote&gt;</w:instrText>
      </w:r>
      <w:r w:rsidR="004A5569">
        <w:fldChar w:fldCharType="separate"/>
      </w:r>
      <w:r w:rsidR="004A5569">
        <w:rPr>
          <w:noProof/>
        </w:rPr>
        <w:t>(Jackson et al., 2007)</w:t>
      </w:r>
      <w:r w:rsidR="004A5569">
        <w:fldChar w:fldCharType="end"/>
      </w:r>
      <w:r w:rsidR="00F24570">
        <w:t xml:space="preserve">. </w:t>
      </w:r>
      <w:r>
        <w:t xml:space="preserve">Delays in service use may also be compounded by factors that increase risk of </w:t>
      </w:r>
      <w:r w:rsidR="00F24570">
        <w:t xml:space="preserve">mental health </w:t>
      </w:r>
      <w:r>
        <w:t xml:space="preserve">problems in rural areas, such as </w:t>
      </w:r>
      <w:r w:rsidR="00F24570">
        <w:t xml:space="preserve">socioeconomic disadvantage, limited access to services, high-risk occupations, exposure to environmental adversity and variation in community resources </w:t>
      </w:r>
      <w:r w:rsidR="004A5569">
        <w:fldChar w:fldCharType="begin"/>
      </w:r>
      <w:r w:rsidR="0074451B">
        <w:instrText xml:space="preserve"> ADDIN EN.CITE &lt;EndNote&gt;&lt;Cite&gt;&lt;Author&gt;Cheesmond&lt;/Author&gt;&lt;Year&gt;2019&lt;/Year&gt;&lt;RecNum&gt;14&lt;/RecNum&gt;&lt;DisplayText&gt;(Cheesmond, Davies, &amp;amp; Inder, 2019)&lt;/DisplayText&gt;&lt;record&gt;&lt;rec-number&gt;14&lt;/rec-number&gt;&lt;foreign-keys&gt;&lt;key app="EN" db-id="rvp0dvwpadt0d3exvpn5rrfq5sdt0aawe595" timestamp="1560904467"&gt;14&lt;/key&gt;&lt;/foreign-keys&gt;&lt;ref-type name="Journal Article"&gt;17&lt;/ref-type&gt;&lt;contributors&gt;&lt;authors&gt;&lt;author&gt;Cheesmond, Natalie E&lt;/author&gt;&lt;author&gt;Davies, Kate&lt;/author&gt;&lt;author&gt;Inder, Kerry J&lt;/author&gt;&lt;/authors&gt;&lt;/contributors&gt;&lt;titles&gt;&lt;title&gt;Exploring the role of rurality and rural identity in mental health help-seeking behavior: A systematic qualitative review&lt;/title&gt;&lt;secondary-title&gt;Journal of Rural Mental Health&lt;/secondary-title&gt;&lt;/titles&gt;&lt;periodical&gt;&lt;full-title&gt;Journal of Rural Mental Health&lt;/full-title&gt;&lt;/periodical&gt;&lt;pages&gt;45&lt;/pages&gt;&lt;volume&gt;43&lt;/volume&gt;&lt;number&gt;1&lt;/number&gt;&lt;dates&gt;&lt;year&gt;2019&lt;/year&gt;&lt;/dates&gt;&lt;isbn&gt;2163-8969&lt;/isbn&gt;&lt;urls&gt;&lt;/urls&gt;&lt;/record&gt;&lt;/Cite&gt;&lt;/EndNote&gt;</w:instrText>
      </w:r>
      <w:r w:rsidR="004A5569">
        <w:fldChar w:fldCharType="separate"/>
      </w:r>
      <w:r w:rsidR="002C33ED">
        <w:rPr>
          <w:noProof/>
        </w:rPr>
        <w:t>(Cheesmond, Davies, &amp; Inder, 2019)</w:t>
      </w:r>
      <w:r w:rsidR="004A5569">
        <w:fldChar w:fldCharType="end"/>
      </w:r>
      <w:r w:rsidR="00F24570">
        <w:t xml:space="preserve">. </w:t>
      </w:r>
      <w:r>
        <w:t>A</w:t>
      </w:r>
      <w:r w:rsidR="00F24570">
        <w:t xml:space="preserve">ttitudinal barriers, </w:t>
      </w:r>
      <w:r>
        <w:t xml:space="preserve">including </w:t>
      </w:r>
      <w:r w:rsidR="00F24570">
        <w:t xml:space="preserve">stoicism, stigma, distrust and meaning </w:t>
      </w:r>
      <w:r>
        <w:lastRenderedPageBreak/>
        <w:t xml:space="preserve">have been </w:t>
      </w:r>
      <w:r w:rsidR="00F24570">
        <w:t xml:space="preserve">identified </w:t>
      </w:r>
      <w:r>
        <w:t xml:space="preserve">as being more prevalent in rural communities, and pose additional challenges to </w:t>
      </w:r>
      <w:r w:rsidR="00F24570">
        <w:t xml:space="preserve">help-seeking behaviour </w:t>
      </w:r>
      <w:r w:rsidR="004A5569">
        <w:fldChar w:fldCharType="begin">
          <w:fldData xml:space="preserve">PEVuZE5vdGU+PENpdGU+PEF1dGhvcj5DaGVlc21vbmQ8L0F1dGhvcj48WWVhcj4yMDE5PC9ZZWFy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</w:fldData>
        </w:fldChar>
      </w:r>
      <w:r w:rsidR="0074451B">
        <w:instrText xml:space="preserve"> ADDIN EN.CITE </w:instrText>
      </w:r>
      <w:r w:rsidR="0074451B">
        <w:fldChar w:fldCharType="begin">
          <w:fldData xml:space="preserve">PEVuZE5vdGU+PENpdGU+PEF1dGhvcj5DaGVlc21vbmQ8L0F1dGhvcj48WWVhcj4yMDE5PC9ZZWFy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</w:fldData>
        </w:fldChar>
      </w:r>
      <w:r w:rsidR="0074451B">
        <w:instrText xml:space="preserve"> ADDIN EN.CITE.DATA </w:instrText>
      </w:r>
      <w:r w:rsidR="0074451B">
        <w:fldChar w:fldCharType="end"/>
      </w:r>
      <w:r w:rsidR="004A5569">
        <w:fldChar w:fldCharType="separate"/>
      </w:r>
      <w:r w:rsidR="002C33ED">
        <w:rPr>
          <w:noProof/>
        </w:rPr>
        <w:t>(Cheesmond et al., 2019; Rost, Smith, &amp; Taylor, 1993)</w:t>
      </w:r>
      <w:r w:rsidR="004A5569">
        <w:fldChar w:fldCharType="end"/>
      </w:r>
      <w:r w:rsidR="00F24570">
        <w:t xml:space="preserve">. </w:t>
      </w:r>
    </w:p>
    <w:p w14:paraId="51D948E3" w14:textId="77777777" w:rsidR="00344CE9" w:rsidRDefault="00344CE9" w:rsidP="00344CE9">
      <w:pPr>
        <w:spacing w:line="480" w:lineRule="auto"/>
      </w:pPr>
    </w:p>
    <w:p w14:paraId="43A57C7F" w14:textId="44793E0E" w:rsidR="00237059" w:rsidRDefault="001C4296">
      <w:pPr>
        <w:spacing w:line="480" w:lineRule="auto"/>
      </w:pPr>
      <w:r>
        <w:t xml:space="preserve">Attitudes toward help-seeking in rural communities </w:t>
      </w:r>
      <w:r w:rsidR="00DA523B">
        <w:t xml:space="preserve">may </w:t>
      </w:r>
      <w:r>
        <w:t xml:space="preserve">also vary according to age and other sociodemographic characteristics. Young people have identified lack of reliable transport, lack of child and adolescent specialists, long waiting lists, lack of after-hours care and stigma (specifically rural gossip networks/social visibility) as key barriers to seeking and accessing mental health care </w:t>
      </w:r>
      <w:r>
        <w:fldChar w:fldCharType="begin"/>
      </w:r>
      <w:r w:rsidR="0074451B">
        <w:instrText xml:space="preserve"> ADDIN EN.CITE &lt;EndNote&gt;&lt;Cite&gt;&lt;Author&gt;Aisbett&lt;/Author&gt;&lt;Year&gt;2007&lt;/Year&gt;&lt;RecNum&gt;23&lt;/RecNum&gt;&lt;DisplayText&gt;(Aisbett, Boyd, Francis, Newnham, &amp;amp; Newnham, 2007)&lt;/DisplayText&gt;&lt;record&gt;&lt;rec-number&gt;23&lt;/rec-number&gt;&lt;foreign-keys&gt;&lt;key app="EN" db-id="rvp0dvwpadt0d3exvpn5rrfq5sdt0aawe595" timestamp="1560904469"&gt;23&lt;/key&gt;&lt;/foreign-keys&gt;&lt;ref-type name="Journal Article"&gt;17&lt;/ref-type&gt;&lt;contributors&gt;&lt;authors&gt;&lt;author&gt;Aisbett, DL&lt;/author&gt;&lt;author&gt;Boyd, CP&lt;/author&gt;&lt;author&gt;Francis, Karen J&lt;/author&gt;&lt;author&gt;Newnham, K&lt;/author&gt;&lt;author&gt;Newnham, K&lt;/author&gt;&lt;/authors&gt;&lt;/contributors&gt;&lt;titles&gt;&lt;title&gt;Understanding barriers to mental health service utilization for adolescents in rural Australia&lt;/title&gt;&lt;secondary-title&gt;Rural and remote health&lt;/secondary-title&gt;&lt;/titles&gt;&lt;periodical&gt;&lt;full-title&gt;Rural and remote health&lt;/full-title&gt;&lt;/periodical&gt;&lt;pages&gt;1-10&lt;/pages&gt;&lt;volume&gt;7&lt;/volume&gt;&lt;number&gt;624&lt;/number&gt;&lt;dates&gt;&lt;year&gt;2007&lt;/year&gt;&lt;/dates&gt;&lt;urls&gt;&lt;/urls&gt;&lt;/record&gt;&lt;/Cite&gt;&lt;/EndNote&gt;</w:instrText>
      </w:r>
      <w:r>
        <w:fldChar w:fldCharType="separate"/>
      </w:r>
      <w:r w:rsidR="002C33ED">
        <w:rPr>
          <w:noProof/>
        </w:rPr>
        <w:t>(Aisbett, Boyd, Francis, Newnham, &amp; Newnham, 2007)</w:t>
      </w:r>
      <w:r>
        <w:fldChar w:fldCharType="end"/>
      </w:r>
      <w:r>
        <w:t xml:space="preserve">. Older adults are less likely </w:t>
      </w:r>
      <w:r w:rsidRPr="003E0E0A">
        <w:t xml:space="preserve">to be able to recognise symptom severity and understand when to seek mental health support </w:t>
      </w:r>
      <w:r>
        <w:fldChar w:fldCharType="begin"/>
      </w:r>
      <w:r w:rsidR="0074451B">
        <w:instrText xml:space="preserve"> ADDIN EN.CITE &lt;EndNote&gt;&lt;Cite&gt;&lt;Author&gt;Forbes&lt;/Author&gt;&lt;Year&gt;2017&lt;/Year&gt;&lt;RecNum&gt;24&lt;/RecNum&gt;&lt;DisplayText&gt;(Forbes, Crome, Sunderland, &amp;amp; Wuthrich, 2017)&lt;/DisplayText&gt;&lt;record&gt;&lt;rec-number&gt;24&lt;/rec-number&gt;&lt;foreign-keys&gt;&lt;key app="EN" db-id="rvp0dvwpadt0d3exvpn5rrfq5sdt0aawe595" timestamp="1560904469"&gt;24&lt;/key&gt;&lt;/foreign-keys&gt;&lt;ref-type name="Journal Article"&gt;17&lt;/ref-type&gt;&lt;contributors&gt;&lt;authors&gt;&lt;author&gt;Forbes, MK&lt;/author&gt;&lt;author&gt;Crome, E&lt;/author&gt;&lt;author&gt;Sunderland, M&lt;/author&gt;&lt;author&gt;Wuthrich, VM&lt;/author&gt;&lt;/authors&gt;&lt;/contributors&gt;&lt;titles&gt;&lt;title&gt;Perceived needs for mental health care and barriers to treatment across age groups&lt;/title&gt;&lt;secondary-title&gt;Aging &amp;amp; mental health&lt;/secondary-title&gt;&lt;/titles&gt;&lt;periodical&gt;&lt;full-title&gt;Aging &amp;amp; mental health&lt;/full-title&gt;&lt;/periodical&gt;&lt;pages&gt;1072-1078&lt;/pages&gt;&lt;volume&gt;21&lt;/volume&gt;&lt;number&gt;10&lt;/number&gt;&lt;dates&gt;&lt;year&gt;2017&lt;/year&gt;&lt;/dates&gt;&lt;isbn&gt;1360-7863&lt;/isbn&gt;&lt;urls&gt;&lt;/urls&gt;&lt;/record&gt;&lt;/Cite&gt;&lt;/EndNote&gt;</w:instrText>
      </w:r>
      <w:r>
        <w:fldChar w:fldCharType="separate"/>
      </w:r>
      <w:r w:rsidR="002C33ED">
        <w:rPr>
          <w:noProof/>
        </w:rPr>
        <w:t>(Forbes, Crome, Sunderland, &amp; Wuthrich, 2017)</w:t>
      </w:r>
      <w:r>
        <w:fldChar w:fldCharType="end"/>
      </w:r>
      <w:r w:rsidR="001E69D1">
        <w:t xml:space="preserve">, which may impact differentially in rural areas as they tend to have higher proportions of older adults than urban areas </w:t>
      </w:r>
      <w:r w:rsidR="001E69D1">
        <w:fldChar w:fldCharType="begin"/>
      </w:r>
      <w:r w:rsidR="001E69D1">
        <w:instrText xml:space="preserve"> ADDIN EN.CITE &lt;EndNote&gt;&lt;Cite&gt;&lt;Author&gt;Davis&lt;/Author&gt;&lt;Year&gt;2008&lt;/Year&gt;&lt;RecNum&gt;64&lt;/RecNum&gt;&lt;DisplayText&gt;(Davis &amp;amp; Bartlett, 2008)&lt;/DisplayText&gt;&lt;record&gt;&lt;rec-number&gt;64&lt;/rec-number&gt;&lt;foreign-keys&gt;&lt;key app="EN" db-id="rvp0dvwpadt0d3exvpn5rrfq5sdt0aawe595" timestamp="1571367980"&gt;64&lt;/key&gt;&lt;/foreign-keys&gt;&lt;ref-type name="Journal Article"&gt;17&lt;/ref-type&gt;&lt;contributors&gt;&lt;authors&gt;&lt;author&gt;Davis, S.&lt;/author&gt;&lt;author&gt;Bartlett, H.&lt;/author&gt;&lt;/authors&gt;&lt;/contributors&gt;&lt;auth-address&gt;School of Rural Health, Monash University, Bendigo, Victoria, Australia. Sam.davis@med.monash.edu.au&lt;/auth-address&gt;&lt;titles&gt;&lt;title&gt;Healthy ageing in rural Australia: issues and challenges&lt;/title&gt;&lt;secondary-title&gt;Australas J Ageing&lt;/secondary-title&gt;&lt;/titles&gt;&lt;periodical&gt;&lt;full-title&gt;Australas J Ageing&lt;/full-title&gt;&lt;/periodical&gt;&lt;pages&gt;56-60&lt;/pages&gt;&lt;volume&gt;27&lt;/volume&gt;&lt;number&gt;2&lt;/number&gt;&lt;edition&gt;2008/08/21&lt;/edition&gt;&lt;keywords&gt;&lt;keyword&gt;Aged&lt;/keyword&gt;&lt;keyword&gt;Aged, 80 and over&lt;/keyword&gt;&lt;keyword&gt;Aging/*physiology&lt;/keyword&gt;&lt;keyword&gt;Female&lt;/keyword&gt;&lt;keyword&gt;Geriatric Assessment&lt;/keyword&gt;&lt;keyword&gt;Health Services for the Aged/*standards/trends&lt;/keyword&gt;&lt;keyword&gt;Health Status&lt;/keyword&gt;&lt;keyword&gt;Humans&lt;/keyword&gt;&lt;keyword&gt;Male&lt;/keyword&gt;&lt;keyword&gt;Policy Making&lt;/keyword&gt;&lt;keyword&gt;*Quality of Health Care&lt;/keyword&gt;&lt;keyword&gt;Queensland&lt;/keyword&gt;&lt;keyword&gt;Risk Assessment&lt;/keyword&gt;&lt;keyword&gt;*Rural Health&lt;/keyword&gt;&lt;keyword&gt;Rural Health Services/*standards/trends&lt;/keyword&gt;&lt;keyword&gt;Rural Population&lt;/keyword&gt;&lt;keyword&gt;Socioeconomic Factors&lt;/keyword&gt;&lt;/keywords&gt;&lt;dates&gt;&lt;year&gt;2008&lt;/year&gt;&lt;pub-dates&gt;&lt;date&gt;Jun&lt;/date&gt;&lt;/pub-dates&gt;&lt;/dates&gt;&lt;isbn&gt;1741-6612 (Electronic)&amp;#xD;1440-6381 (Linking)&lt;/isbn&gt;&lt;accession-num&gt;18713193&lt;/accession-num&gt;&lt;urls&gt;&lt;related-urls&gt;&lt;url&gt;https://www.ncbi.nlm.nih.gov/pubmed/18713193&lt;/url&gt;&lt;/related-urls&gt;&lt;/urls&gt;&lt;electronic-resource-num&gt;10.1111/j.1741-6612.2008.00296.x&lt;/electronic-resource-num&gt;&lt;/record&gt;&lt;/Cite&gt;&lt;/EndNote&gt;</w:instrText>
      </w:r>
      <w:r w:rsidR="001E69D1">
        <w:fldChar w:fldCharType="separate"/>
      </w:r>
      <w:r w:rsidR="001E69D1">
        <w:rPr>
          <w:noProof/>
        </w:rPr>
        <w:t>(Davis &amp; Bartlett, 2008)</w:t>
      </w:r>
      <w:r w:rsidR="001E69D1">
        <w:fldChar w:fldCharType="end"/>
      </w:r>
      <w:r w:rsidRPr="003E0E0A">
        <w:t xml:space="preserve">. </w:t>
      </w:r>
      <w:r w:rsidR="00344CE9">
        <w:t xml:space="preserve">Older adults also have differences in values and norms, with </w:t>
      </w:r>
      <w:r w:rsidRPr="003E0E0A">
        <w:t xml:space="preserve">self-sufficiency perceived as a </w:t>
      </w:r>
      <w:r>
        <w:t xml:space="preserve">particular </w:t>
      </w:r>
      <w:r w:rsidRPr="003E0E0A">
        <w:t xml:space="preserve">barrier </w:t>
      </w:r>
      <w:r w:rsidR="00344CE9">
        <w:t xml:space="preserve">in this age group </w:t>
      </w:r>
      <w:r>
        <w:fldChar w:fldCharType="begin"/>
      </w:r>
      <w:r w:rsidR="0074451B">
        <w:instrText xml:space="preserve"> ADDIN EN.CITE &lt;EndNote&gt;&lt;Cite&gt;&lt;Author&gt;Knight&lt;/Author&gt;&lt;Year&gt;2019&lt;/Year&gt;&lt;RecNum&gt;25&lt;/RecNum&gt;&lt;DisplayText&gt;(Knight &amp;amp; Winterbotham, 2019)&lt;/DisplayText&gt;&lt;record&gt;&lt;rec-number&gt;25&lt;/rec-number&gt;&lt;foreign-keys&gt;&lt;key app="EN" db-id="rvp0dvwpadt0d3exvpn5rrfq5sdt0aawe595" timestamp="1560904469"&gt;25&lt;/key&gt;&lt;/foreign-keys&gt;&lt;ref-type name="Journal Article"&gt;17&lt;/ref-type&gt;&lt;contributors&gt;&lt;authors&gt;&lt;author&gt;Knight, Bob G&lt;/author&gt;&lt;author&gt;Winterbotham, Sonya&lt;/author&gt;&lt;/authors&gt;&lt;/contributors&gt;&lt;titles&gt;&lt;title&gt;Rural and urban older adults’ perceptions of mental health services accessibility&lt;/title&gt;&lt;secondary-title&gt;Aging &amp;amp; mental health&lt;/secondary-title&gt;&lt;/titles&gt;&lt;periodical&gt;&lt;full-title&gt;Aging &amp;amp; mental health&lt;/full-title&gt;&lt;/periodical&gt;&lt;pages&gt;1-7&lt;/pages&gt;&lt;dates&gt;&lt;year&gt;2019&lt;/year&gt;&lt;/dates&gt;&lt;isbn&gt;1360-7863&lt;/isbn&gt;&lt;urls&gt;&lt;/urls&gt;&lt;/record&gt;&lt;/Cite&gt;&lt;/EndNote&gt;</w:instrText>
      </w:r>
      <w:r>
        <w:fldChar w:fldCharType="separate"/>
      </w:r>
      <w:r w:rsidR="002C33ED">
        <w:rPr>
          <w:noProof/>
        </w:rPr>
        <w:t>(Knight &amp; Winterbotham, 2019)</w:t>
      </w:r>
      <w:r>
        <w:fldChar w:fldCharType="end"/>
      </w:r>
      <w:r w:rsidRPr="003E0E0A">
        <w:t>.</w:t>
      </w:r>
      <w:r w:rsidR="00344CE9">
        <w:t xml:space="preserve"> </w:t>
      </w:r>
      <w:r w:rsidR="00DA523B">
        <w:t>Gender d</w:t>
      </w:r>
      <w:r w:rsidR="00F24570">
        <w:t xml:space="preserve">ifferences in suicide risk </w:t>
      </w:r>
      <w:r w:rsidR="00237059">
        <w:t>have</w:t>
      </w:r>
      <w:r w:rsidR="00F24570">
        <w:t xml:space="preserve"> </w:t>
      </w:r>
      <w:r w:rsidR="00DA523B">
        <w:t xml:space="preserve">also </w:t>
      </w:r>
      <w:r w:rsidR="00F24570">
        <w:t>been identified</w:t>
      </w:r>
      <w:r w:rsidR="00344CE9">
        <w:t>,</w:t>
      </w:r>
      <w:r w:rsidR="00F24570">
        <w:t xml:space="preserve"> with suicide in farming communities tending to occur in the absence of higher rates of diagnosed mental health conditions </w:t>
      </w:r>
      <w:r w:rsidR="004A5569">
        <w:fldChar w:fldCharType="begin"/>
      </w:r>
      <w:r w:rsidR="0074451B">
        <w:instrText xml:space="preserve"> ADDIN EN.CITE &lt;EndNote&gt;&lt;Cite&gt;&lt;Author&gt;Kennedy&lt;/Author&gt;&lt;Year&gt;2018&lt;/Year&gt;&lt;RecNum&gt;13&lt;/RecNum&gt;&lt;DisplayText&gt;(Kennedy, Brumby, Versace, &amp;amp; Brumby-Rendell, 2018)&lt;/DisplayText&gt;&lt;record&gt;&lt;rec-number&gt;13&lt;/rec-number&gt;&lt;foreign-keys&gt;&lt;key app="EN" db-id="rvp0dvwpadt0d3exvpn5rrfq5sdt0aawe595" timestamp="1560904467"&gt;13&lt;/key&gt;&lt;/foreign-keys&gt;&lt;ref-type name="Journal Article"&gt;17&lt;/ref-type&gt;&lt;contributors&gt;&lt;authors&gt;&lt;author&gt;Kennedy, Alison J&lt;/author&gt;&lt;author&gt;Brumby, Susan A&lt;/author&gt;&lt;author&gt;Versace, Vincent Lawrence&lt;/author&gt;&lt;author&gt;Brumby-Rendell, Tristan&lt;/author&gt;&lt;/authors&gt;&lt;/contributors&gt;&lt;titles&gt;&lt;title&gt;Online assessment of suicide stigma, literacy and effect in Australia’s rural farming community&lt;/title&gt;&lt;secondary-title&gt;BMC public health&lt;/secondary-title&gt;&lt;/titles&gt;&lt;periodical&gt;&lt;full-title&gt;BMC public health&lt;/full-title&gt;&lt;/periodical&gt;&lt;pages&gt;846&lt;/pages&gt;&lt;volume&gt;18&lt;/volume&gt;&lt;number&gt;1&lt;/number&gt;&lt;dates&gt;&lt;year&gt;2018&lt;/year&gt;&lt;/dates&gt;&lt;isbn&gt;1471-2458&lt;/isbn&gt;&lt;urls&gt;&lt;/urls&gt;&lt;/record&gt;&lt;/Cite&gt;&lt;/EndNote&gt;</w:instrText>
      </w:r>
      <w:r w:rsidR="004A5569">
        <w:fldChar w:fldCharType="separate"/>
      </w:r>
      <w:r w:rsidR="002C33ED">
        <w:rPr>
          <w:noProof/>
        </w:rPr>
        <w:t>(Kennedy, Brumby, Versace, &amp; Brumby-Rendell, 2018)</w:t>
      </w:r>
      <w:r w:rsidR="004A5569">
        <w:fldChar w:fldCharType="end"/>
      </w:r>
      <w:r w:rsidR="00F24570">
        <w:t xml:space="preserve">. Suicide rates are estimated to be up to 30% higher outside of metropolitan areas with young rural males, aged 15 to 24, up to 1.8 times more likely to die by suicide </w:t>
      </w:r>
      <w:r w:rsidR="004A5569">
        <w:fldChar w:fldCharType="begin"/>
      </w:r>
      <w:r w:rsidR="0074451B">
        <w:instrText xml:space="preserve"> ADDIN EN.CITE &lt;EndNote&gt;&lt;Cite&gt;&lt;Author&gt;Kõlves&lt;/Author&gt;&lt;Year&gt;2012&lt;/Year&gt;&lt;RecNum&gt;19&lt;/RecNum&gt;&lt;DisplayText&gt;(Kõlves, Milner, McKay, &amp;amp; De Leo, 2012)&lt;/DisplayText&gt;&lt;record&gt;&lt;rec-number&gt;19&lt;/rec-number&gt;&lt;foreign-keys&gt;&lt;key app="EN" db-id="rvp0dvwpadt0d3exvpn5rrfq5sdt0aawe595" timestamp="1560904468"&gt;19&lt;/key&gt;&lt;/foreign-keys&gt;&lt;ref-type name="Book"&gt;6&lt;/ref-type&gt;&lt;contributors&gt;&lt;authors&gt;&lt;author&gt;Kõlves, Kairi&lt;/author&gt;&lt;author&gt;Milner, Allison&lt;/author&gt;&lt;author&gt;McKay, Kathy&lt;/author&gt;&lt;author&gt;De Leo, Diego&lt;/author&gt;&lt;/authors&gt;&lt;/contributors&gt;&lt;titles&gt;&lt;title&gt;Suicide in rural and remote areas of Australia&lt;/title&gt;&lt;/titles&gt;&lt;dates&gt;&lt;year&gt;2012&lt;/year&gt;&lt;/dates&gt;&lt;publisher&gt;Australian Institute for Suicide Research and Prevention Brisbane, Australia&lt;/publisher&gt;&lt;isbn&gt;0958088233&lt;/isbn&gt;&lt;urls&gt;&lt;/urls&gt;&lt;/record&gt;&lt;/Cite&gt;&lt;/EndNote&gt;</w:instrText>
      </w:r>
      <w:r w:rsidR="004A5569">
        <w:fldChar w:fldCharType="separate"/>
      </w:r>
      <w:r w:rsidR="002C33ED">
        <w:rPr>
          <w:noProof/>
        </w:rPr>
        <w:t>(Kõlves, Milner, McKay, &amp; De Leo, 2012)</w:t>
      </w:r>
      <w:r w:rsidR="004A5569">
        <w:fldChar w:fldCharType="end"/>
      </w:r>
      <w:r w:rsidR="00F24570" w:rsidRPr="003E0E0A">
        <w:t xml:space="preserve">. </w:t>
      </w:r>
      <w:r w:rsidR="00344CE9">
        <w:t>A</w:t>
      </w:r>
      <w:r w:rsidR="00FB225B">
        <w:t xml:space="preserve">dherence to masculine norms and socialisation, expectations of self in maintaining family traditions and occupation and a male subtype of depression </w:t>
      </w:r>
      <w:r w:rsidR="00344CE9">
        <w:t xml:space="preserve">have also been implicated as </w:t>
      </w:r>
      <w:r w:rsidR="00FB225B">
        <w:t xml:space="preserve">potential factors </w:t>
      </w:r>
      <w:r w:rsidR="004A5569">
        <w:t>influencing suicidal behaviour</w:t>
      </w:r>
      <w:r w:rsidR="00FB225B">
        <w:t xml:space="preserve"> </w:t>
      </w:r>
      <w:r w:rsidR="00344CE9">
        <w:t xml:space="preserve">in rural communities </w:t>
      </w:r>
      <w:r w:rsidR="001C284F">
        <w:fldChar w:fldCharType="begin"/>
      </w:r>
      <w:r w:rsidR="0074451B">
        <w:instrText xml:space="preserve"> ADDIN EN.CITE &lt;EndNote&gt;&lt;Cite&gt;&lt;Author&gt;Kunde&lt;/Author&gt;&lt;Year&gt;2018&lt;/Year&gt;&lt;RecNum&gt;22&lt;/RecNum&gt;&lt;DisplayText&gt;(Kunde, Kõlves, Kelly, Reddy, &amp;amp; De Leo, 2018)&lt;/DisplayText&gt;&lt;record&gt;&lt;rec-number&gt;22&lt;/rec-number&gt;&lt;foreign-keys&gt;&lt;key app="EN" db-id="rvp0dvwpadt0d3exvpn5rrfq5sdt0aawe595" timestamp="1560904469"&gt;22&lt;/key&gt;&lt;/foreign-keys&gt;&lt;ref-type name="Journal Article"&gt;17&lt;/ref-type&gt;&lt;contributors&gt;&lt;authors&gt;&lt;author&gt;Kunde, Lisa&lt;/author&gt;&lt;author&gt;Kõlves, Kairi&lt;/author&gt;&lt;author&gt;Kelly, Brian&lt;/author&gt;&lt;author&gt;Reddy, Prasuna&lt;/author&gt;&lt;author&gt;De Leo, Diego&lt;/author&gt;&lt;/authors&gt;&lt;/contributors&gt;&lt;titles&gt;&lt;title&gt;“The Masks We Wear”: A Qualitative Study of Suicide in Australian Farmers&lt;/title&gt;&lt;secondary-title&gt;The Journal of Rural Health&lt;/secondary-title&gt;&lt;/titles&gt;&lt;periodical&gt;&lt;full-title&gt;The Journal of Rural Health&lt;/full-title&gt;&lt;/periodical&gt;&lt;pages&gt;254-262&lt;/pages&gt;&lt;volume&gt;34&lt;/volume&gt;&lt;number&gt;3&lt;/number&gt;&lt;dates&gt;&lt;year&gt;2018&lt;/year&gt;&lt;/dates&gt;&lt;isbn&gt;0890-765X&lt;/isbn&gt;&lt;urls&gt;&lt;/urls&gt;&lt;/record&gt;&lt;/Cite&gt;&lt;/EndNote&gt;</w:instrText>
      </w:r>
      <w:r w:rsidR="001C284F">
        <w:fldChar w:fldCharType="separate"/>
      </w:r>
      <w:r w:rsidR="002C33ED">
        <w:rPr>
          <w:noProof/>
        </w:rPr>
        <w:t>(Kunde, Kõlves, Kelly, Reddy, &amp; De Leo, 2018)</w:t>
      </w:r>
      <w:r w:rsidR="001C284F">
        <w:fldChar w:fldCharType="end"/>
      </w:r>
      <w:r w:rsidR="006E358E">
        <w:t xml:space="preserve">. </w:t>
      </w:r>
      <w:r w:rsidR="00DA523B">
        <w:t xml:space="preserve">Norms related to high self-reliance have </w:t>
      </w:r>
      <w:r w:rsidR="00F81BF6">
        <w:t>similarly</w:t>
      </w:r>
      <w:r w:rsidR="00DA523B">
        <w:t xml:space="preserve"> been implicated in reduced levels of help seeking </w:t>
      </w:r>
      <w:r w:rsidR="00DA523B">
        <w:fldChar w:fldCharType="begin"/>
      </w:r>
      <w:r w:rsidR="00DA523B">
        <w:instrText xml:space="preserve"> ADDIN EN.CITE &lt;EndNote&gt;&lt;Cite&gt;&lt;Author&gt;Han&lt;/Author&gt;&lt;Year&gt;2018&lt;/Year&gt;&lt;RecNum&gt;54&lt;/RecNum&gt;&lt;DisplayText&gt;(Han, Batterham, Calear, &amp;amp; Randall, 2018)&lt;/DisplayText&gt;&lt;record&gt;&lt;rec-number&gt;54&lt;/rec-number&gt;&lt;foreign-keys&gt;&lt;key app="EN" db-id="rvp0dvwpadt0d3exvpn5rrfq5sdt0aawe595" timestamp="1560908293"&gt;54&lt;/key&gt;&lt;/foreign-keys&gt;&lt;ref-type name="Journal Article"&gt;17&lt;/ref-type&gt;&lt;contributors&gt;&lt;authors&gt;&lt;author&gt;Han, J.&lt;/author&gt;&lt;author&gt;Batterham, P. J.&lt;/author&gt;&lt;author&gt;Calear, A. L.&lt;/author&gt;&lt;author&gt;Randall, R.&lt;/author&gt;&lt;/authors&gt;&lt;/contributors&gt;&lt;auth-address&gt;1 Centre for Mental Health Research, The Australian National University, Canberra, ACT, Australia.&lt;/auth-address&gt;&lt;titles&gt;&lt;title&gt;Factors Influencing Professional Help-Seeking for Suicidality&lt;/title&gt;&lt;secondary-title&gt;Crisis&lt;/secondary-title&gt;&lt;/titles&gt;&lt;periodical&gt;&lt;full-title&gt;Crisis&lt;/full-title&gt;&lt;/periodical&gt;&lt;pages&gt;175-196&lt;/pages&gt;&lt;volume&gt;39&lt;/volume&gt;&lt;number&gt;3&lt;/number&gt;&lt;edition&gt;2017/10/21&lt;/edition&gt;&lt;keywords&gt;&lt;keyword&gt;Age Factors&lt;/keyword&gt;&lt;keyword&gt;*Attitude to Health&lt;/keyword&gt;&lt;keyword&gt;Depressive Disorder/*psychology&lt;/keyword&gt;&lt;keyword&gt;*Help-Seeking Behavior&lt;/keyword&gt;&lt;keyword&gt;Humans&lt;/keyword&gt;&lt;keyword&gt;Mental Disorders/psychology&lt;/keyword&gt;&lt;keyword&gt;*Patient Acceptance of Health Care&lt;/keyword&gt;&lt;keyword&gt;Severity of Illness Index&lt;/keyword&gt;&lt;keyword&gt;*Social Stigma&lt;/keyword&gt;&lt;keyword&gt;Stress, Psychological/*psychology&lt;/keyword&gt;&lt;keyword&gt;*Suicidal Ideation&lt;/keyword&gt;&lt;keyword&gt;help-seeking&lt;/keyword&gt;&lt;keyword&gt;service utilization&lt;/keyword&gt;&lt;keyword&gt;suicide&lt;/keyword&gt;&lt;/keywords&gt;&lt;dates&gt;&lt;year&gt;2018&lt;/year&gt;&lt;pub-dates&gt;&lt;date&gt;May&lt;/date&gt;&lt;/pub-dates&gt;&lt;/dates&gt;&lt;isbn&gt;2151-2396 (Electronic)&amp;#xD;0227-5910 (Linking)&lt;/isbn&gt;&lt;accession-num&gt;29052431&lt;/accession-num&gt;&lt;urls&gt;&lt;related-urls&gt;&lt;url&gt;https://www.ncbi.nlm.nih.gov/pubmed/29052431&lt;/url&gt;&lt;/related-urls&gt;&lt;/urls&gt;&lt;electronic-resource-num&gt;10.1027/0227-5910/a000485&lt;/electronic-resource-num&gt;&lt;/record&gt;&lt;/Cite&gt;&lt;/EndNote&gt;</w:instrText>
      </w:r>
      <w:r w:rsidR="00DA523B">
        <w:fldChar w:fldCharType="separate"/>
      </w:r>
      <w:r w:rsidR="00DA523B">
        <w:rPr>
          <w:noProof/>
        </w:rPr>
        <w:t>(Han, Batterham, Calear, &amp; Randall, 2018)</w:t>
      </w:r>
      <w:r w:rsidR="00DA523B">
        <w:fldChar w:fldCharType="end"/>
      </w:r>
      <w:r w:rsidR="00DA523B">
        <w:t xml:space="preserve">, </w:t>
      </w:r>
      <w:r w:rsidR="00DA523B" w:rsidRPr="00DA523B">
        <w:t>which may be magnified in rural areas</w:t>
      </w:r>
      <w:r w:rsidR="00DA523B">
        <w:t>.</w:t>
      </w:r>
    </w:p>
    <w:p w14:paraId="3EA5DCF8" w14:textId="77777777" w:rsidR="00344CE9" w:rsidRDefault="00344CE9" w:rsidP="00344CE9">
      <w:pPr>
        <w:spacing w:line="480" w:lineRule="auto"/>
      </w:pPr>
    </w:p>
    <w:p w14:paraId="7C1ADED9" w14:textId="7A4E70D4" w:rsidR="00F24570" w:rsidRDefault="00DA523B" w:rsidP="00344CE9">
      <w:pPr>
        <w:spacing w:line="480" w:lineRule="auto"/>
      </w:pPr>
      <w:r>
        <w:lastRenderedPageBreak/>
        <w:t xml:space="preserve">Despite the evidence that there are considerable structural and attitudinal barriers to help seeking in rural areas, limited research has examined sources of service use reported by people with mental health conditions living in rural communities. </w:t>
      </w:r>
      <w:r w:rsidR="00F24570" w:rsidRPr="003E0E0A">
        <w:t xml:space="preserve">The present study aimed to identify whether there were differences in </w:t>
      </w:r>
      <w:r w:rsidR="00F71AF7">
        <w:t xml:space="preserve">rates of </w:t>
      </w:r>
      <w:r w:rsidR="00F24570" w:rsidRPr="003E0E0A">
        <w:t>help seeking</w:t>
      </w:r>
      <w:r w:rsidR="00F24570" w:rsidRPr="00161A01">
        <w:t xml:space="preserve"> for mental health problems in rural versus urban areas, among people meeting clinical criteria for a mental health problem or suicidal ideation. Data came from a large cross-sectional community-based survey on the mental health of Australians. The survey was completed by 3</w:t>
      </w:r>
      <w:r w:rsidR="00F81BF6">
        <w:t>,</w:t>
      </w:r>
      <w:r w:rsidR="00F24570" w:rsidRPr="00161A01">
        <w:t xml:space="preserve">620 Australian adults, of whom </w:t>
      </w:r>
      <w:r w:rsidR="00344CE9">
        <w:t xml:space="preserve">2,374 </w:t>
      </w:r>
      <w:r w:rsidR="00F24570" w:rsidRPr="00161A01">
        <w:t>met criteria for one or more mental disorders (n=</w:t>
      </w:r>
      <w:r w:rsidR="00344CE9">
        <w:t>2,088</w:t>
      </w:r>
      <w:r w:rsidR="00F24570" w:rsidRPr="00161A01">
        <w:t xml:space="preserve">) </w:t>
      </w:r>
      <w:r w:rsidR="00344CE9">
        <w:t>and/</w:t>
      </w:r>
      <w:r w:rsidR="00F24570" w:rsidRPr="00161A01">
        <w:t>or reported suicidal ideation (n=</w:t>
      </w:r>
      <w:r w:rsidR="00344CE9">
        <w:t>1,323</w:t>
      </w:r>
      <w:r w:rsidR="00F24570" w:rsidRPr="00161A01">
        <w:t>). We sought to establish</w:t>
      </w:r>
      <w:r w:rsidR="00F24570">
        <w:t>: (1) whether rates of receiving professional support for mental health problems were different in urban, regional and rural areas, (2) whether there were differences in the mix of professional services received across these areas, (3) whether there were differences in perceived need for services and in reasons for not seeking help, and (4) whether symptom severity, stigma or demographic variation explained differences in service use. The sample was not representative of the general population, with over-representation of females and people with mental health problems</w:t>
      </w:r>
      <w:r w:rsidR="00164930">
        <w:t xml:space="preserve">, although representation of people in rural areas was comparable with the Australian population: 11.6% in this sample versus 10.2% in the Australian population </w:t>
      </w:r>
      <w:r w:rsidR="00164930">
        <w:fldChar w:fldCharType="begin"/>
      </w:r>
      <w:r w:rsidR="00164930">
        <w:instrText xml:space="preserve"> ADDIN EN.CITE &lt;EndNote&gt;&lt;Cite&gt;&lt;Author&gt;Australian Bureau of Statistics&lt;/Author&gt;&lt;Year&gt;2019&lt;/Year&gt;&lt;RecNum&gt;65&lt;/RecNum&gt;&lt;DisplayText&gt;(Australian Bureau of Statistics, 2019)&lt;/DisplayText&gt;&lt;record&gt;&lt;rec-number&gt;65&lt;/rec-number&gt;&lt;foreign-keys&gt;&lt;key app="EN" db-id="rvp0dvwpadt0d3exvpn5rrfq5sdt0aawe595" timestamp="1571369027"&gt;65&lt;/key&gt;&lt;/foreign-keys&gt;&lt;ref-type name="Report"&gt;27&lt;/ref-type&gt;&lt;contributors&gt;&lt;authors&gt;&lt;author&gt;Australian Bureau of Statistics,&lt;/author&gt;&lt;/authors&gt;&lt;secondary-authors&gt;&lt;author&gt;Australian Bureau of Statistics,&lt;/author&gt;&lt;/secondary-authors&gt;&lt;/contributors&gt;&lt;titles&gt;&lt;title&gt;3218.0  Regional Population Growth, Australia&lt;/title&gt;&lt;/titles&gt;&lt;dates&gt;&lt;year&gt;2019&lt;/year&gt;&lt;/dates&gt;&lt;pub-location&gt;Canberra&lt;/pub-location&gt;&lt;urls&gt;&lt;/urls&gt;&lt;/record&gt;&lt;/Cite&gt;&lt;/EndNote&gt;</w:instrText>
      </w:r>
      <w:r w:rsidR="00164930">
        <w:fldChar w:fldCharType="separate"/>
      </w:r>
      <w:r w:rsidR="00164930">
        <w:rPr>
          <w:noProof/>
        </w:rPr>
        <w:t>(Australian Bureau of Statistics, 2019)</w:t>
      </w:r>
      <w:r w:rsidR="00164930">
        <w:fldChar w:fldCharType="end"/>
      </w:r>
      <w:r w:rsidR="00F24570">
        <w:t xml:space="preserve">. </w:t>
      </w:r>
      <w:r w:rsidR="00164930">
        <w:t>C</w:t>
      </w:r>
      <w:r w:rsidR="00F24570">
        <w:t xml:space="preserve">ommunity-based surveys such as this allow for correlational analyses to assess whether there are differences in outcomes such as help seeking across geographical areas, which cannot be directly achieved using data from clinical settings. </w:t>
      </w:r>
      <w:r w:rsidR="00981552">
        <w:t>Analyses accounted for age and gender, based on the potential demographic differences noted above, along with severity of psychological distress as an indicator for level of need for services, and stigma as a key potential barrier to service use.</w:t>
      </w:r>
    </w:p>
    <w:p w14:paraId="2DE412FC" w14:textId="77777777" w:rsidR="00344CE9" w:rsidRDefault="00344CE9" w:rsidP="00344CE9">
      <w:pPr>
        <w:spacing w:line="480" w:lineRule="auto"/>
      </w:pPr>
    </w:p>
    <w:p w14:paraId="21B9139B" w14:textId="20D6CBEB" w:rsidR="00F24570" w:rsidRDefault="00F24570" w:rsidP="00344CE9">
      <w:pPr>
        <w:spacing w:line="480" w:lineRule="auto"/>
      </w:pPr>
      <w:r>
        <w:lastRenderedPageBreak/>
        <w:t>Based on previous research identifying restricted accessibility of mental health services in rural and regional areas of Australia, we hypothesised that use of all services would be lower for people in rural and regional areas than metropolitan areas, with a declining gradient in service use associated with rurality and the largest disparities seen in specialist services (psychologists and psychiatrists), independently of variations in attitudes, symptom severity and demographics across residential categories. Relatedly, it was hypothesized that there would be no difference in perceived need among those who did not seek help.</w:t>
      </w:r>
    </w:p>
    <w:p w14:paraId="5431F4C7" w14:textId="77777777" w:rsidR="00344CE9" w:rsidRDefault="00344CE9" w:rsidP="00344CE9">
      <w:pPr>
        <w:spacing w:line="480" w:lineRule="auto"/>
        <w:rPr>
          <w:b/>
          <w:bCs/>
        </w:rPr>
      </w:pPr>
    </w:p>
    <w:p w14:paraId="1B885D79" w14:textId="77777777" w:rsidR="00344CE9" w:rsidRPr="006E5042" w:rsidRDefault="00344CE9" w:rsidP="00DB04B9">
      <w:pPr>
        <w:keepNext/>
        <w:spacing w:line="480" w:lineRule="auto"/>
        <w:rPr>
          <w:b/>
          <w:bCs/>
        </w:rPr>
      </w:pPr>
      <w:r w:rsidRPr="006E5042">
        <w:rPr>
          <w:b/>
          <w:bCs/>
        </w:rPr>
        <w:t>Method</w:t>
      </w:r>
    </w:p>
    <w:p w14:paraId="5976A301" w14:textId="77777777" w:rsidR="00325C13" w:rsidRDefault="00325C13" w:rsidP="00DB04B9">
      <w:pPr>
        <w:keepNext/>
        <w:spacing w:line="480" w:lineRule="auto"/>
        <w:rPr>
          <w:b/>
          <w:i/>
        </w:rPr>
      </w:pPr>
    </w:p>
    <w:p w14:paraId="3758321C" w14:textId="77777777" w:rsidR="00344CE9" w:rsidRPr="00D11A90" w:rsidRDefault="00344CE9" w:rsidP="00DB04B9">
      <w:pPr>
        <w:keepNext/>
        <w:spacing w:line="480" w:lineRule="auto"/>
        <w:rPr>
          <w:b/>
          <w:i/>
        </w:rPr>
      </w:pPr>
      <w:r w:rsidRPr="00D11A90">
        <w:rPr>
          <w:b/>
          <w:i/>
        </w:rPr>
        <w:t>Participants</w:t>
      </w:r>
    </w:p>
    <w:p w14:paraId="4D87205B" w14:textId="37515A8E" w:rsidR="00344CE9" w:rsidRDefault="00344CE9" w:rsidP="00344CE9">
      <w:pPr>
        <w:spacing w:line="480" w:lineRule="auto"/>
      </w:pPr>
      <w:r>
        <w:t xml:space="preserve">Participants in this study were drawn from the Assessing Mental Health survey </w:t>
      </w:r>
      <w:r w:rsidR="00FF6B9D">
        <w:fldChar w:fldCharType="begin">
          <w:fldData xml:space="preserve">PEVuZE5vdGU+PENpdGU+PEF1dGhvcj5CYXR0ZXJoYW08L0F1dGhvcj48WWVhcj4yMDE4PC9ZZWFy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</w:fldData>
        </w:fldChar>
      </w:r>
      <w:r w:rsidR="0074451B">
        <w:instrText xml:space="preserve"> ADDIN EN.CITE </w:instrText>
      </w:r>
      <w:r w:rsidR="0074451B">
        <w:fldChar w:fldCharType="begin">
          <w:fldData xml:space="preserve">PEVuZE5vdGU+PENpdGU+PEF1dGhvcj5CYXR0ZXJoYW08L0F1dGhvcj48WWVhcj4yMDE4PC9ZZWFy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</w:fldData>
        </w:fldChar>
      </w:r>
      <w:r w:rsidR="0074451B">
        <w:instrText xml:space="preserve"> ADDIN EN.CITE.DATA </w:instrText>
      </w:r>
      <w:r w:rsidR="0074451B">
        <w:fldChar w:fldCharType="end"/>
      </w:r>
      <w:r w:rsidR="00FF6B9D">
        <w:fldChar w:fldCharType="separate"/>
      </w:r>
      <w:r w:rsidR="002C33ED">
        <w:rPr>
          <w:noProof/>
        </w:rPr>
        <w:t>(Batterham, Calear, Christensen, Carragher, &amp; Sunderland, 2018a; Batterham, Sunderland, Slade, Calear, &amp; Carragher, 2018b)</w:t>
      </w:r>
      <w:r w:rsidR="00FF6B9D">
        <w:fldChar w:fldCharType="end"/>
      </w:r>
      <w:r w:rsidR="00325C13">
        <w:t>,</w:t>
      </w:r>
      <w:r>
        <w:t xml:space="preserve"> conducted in January-February 2016. Social media advertising through the Facebook social network platform was used to recruit participants for a 40-60 m survey. The advertisement indicated that the survey related to mental health. From 5,379 individuals who clicked on the survey link, 5,220 (97%) consented and commenced the survey and 3,620 (67%) completed the full survey. There were no missing data as responses were required for all questions except age and gender, with participants encouraged to discontinue if they became uncomfortable with the survey. Eligibility criteria were that respondents had to be aged 18 years or older and living in Australia.</w:t>
      </w:r>
      <w:r w:rsidR="003531B9">
        <w:t xml:space="preserve"> Participant characteristics are provided in Table 1.</w:t>
      </w:r>
    </w:p>
    <w:p w14:paraId="53F12823" w14:textId="77777777" w:rsidR="00325C13" w:rsidRDefault="00325C13" w:rsidP="00344CE9">
      <w:pPr>
        <w:spacing w:line="480" w:lineRule="auto"/>
        <w:rPr>
          <w:b/>
          <w:i/>
        </w:rPr>
      </w:pPr>
    </w:p>
    <w:p w14:paraId="659DA1D3" w14:textId="77777777" w:rsidR="00344CE9" w:rsidRPr="00FA19FA" w:rsidRDefault="00344CE9" w:rsidP="004639F4">
      <w:pPr>
        <w:keepNext/>
        <w:spacing w:line="480" w:lineRule="auto"/>
        <w:rPr>
          <w:b/>
          <w:i/>
        </w:rPr>
      </w:pPr>
      <w:r w:rsidRPr="00FA19FA">
        <w:rPr>
          <w:b/>
          <w:i/>
        </w:rPr>
        <w:lastRenderedPageBreak/>
        <w:t>Procedure</w:t>
      </w:r>
    </w:p>
    <w:p w14:paraId="6B56170F" w14:textId="77777777" w:rsidR="00344CE9" w:rsidRDefault="00344CE9" w:rsidP="00344CE9">
      <w:pPr>
        <w:spacing w:line="480" w:lineRule="auto"/>
      </w:pPr>
      <w:r>
        <w:t>Participants were provided with a detailed information sheet outlining survey involvement and providing mental health resources including help lines and crisis team contact information. Online informed consent was then collected. The survey included measures of help seeking, demographics, disclosure of suicidal ideation, suicide stigma, suicide risk and mental health. No incentives were provided to participants for completion of the survey. Ethical approval was obtained from the ANU Human Research Ethics Committee (protocol: #2015/717).</w:t>
      </w:r>
    </w:p>
    <w:p w14:paraId="60BF7A81" w14:textId="77777777" w:rsidR="00325C13" w:rsidRDefault="00325C13" w:rsidP="00344CE9">
      <w:pPr>
        <w:spacing w:line="480" w:lineRule="auto"/>
        <w:rPr>
          <w:b/>
          <w:i/>
        </w:rPr>
      </w:pPr>
    </w:p>
    <w:p w14:paraId="2CCBA1F9" w14:textId="77777777" w:rsidR="00344CE9" w:rsidRPr="00FA19FA" w:rsidRDefault="00344CE9" w:rsidP="00DB04B9">
      <w:pPr>
        <w:keepNext/>
        <w:spacing w:line="480" w:lineRule="auto"/>
        <w:rPr>
          <w:b/>
          <w:i/>
        </w:rPr>
      </w:pPr>
      <w:r w:rsidRPr="00FA19FA">
        <w:rPr>
          <w:b/>
          <w:i/>
        </w:rPr>
        <w:t>Measures</w:t>
      </w:r>
    </w:p>
    <w:p w14:paraId="1B1191A5" w14:textId="77777777" w:rsidR="00F76EC1" w:rsidRDefault="00344CE9" w:rsidP="00344CE9">
      <w:pPr>
        <w:spacing w:line="480" w:lineRule="auto"/>
      </w:pPr>
      <w:r>
        <w:t xml:space="preserve">The primary outcome was help seeking behaviour, as measured using the Actual Help Seeking Scale (AHSS). The scale </w:t>
      </w:r>
      <w:r w:rsidR="008B34EC">
        <w:t>assesses self-reported service use from a range of specific informal and formal sources over the past 12 months. The current analyses focused only on service use</w:t>
      </w:r>
      <w:r w:rsidR="00F76EC1">
        <w:t xml:space="preserve"> with health professionals</w:t>
      </w:r>
      <w:r w:rsidR="008B34EC">
        <w:t>: doctor/GP, social worker, hospital, psychologist, psychiatrist or counsellor.</w:t>
      </w:r>
      <w:r w:rsidR="00F76EC1">
        <w:t xml:space="preserve"> The question text was: “</w:t>
      </w:r>
      <w:r w:rsidR="00F76EC1" w:rsidRPr="00F76EC1">
        <w:rPr>
          <w:i/>
        </w:rPr>
        <w:t>Now we are interested in whether you have sought help for a mental health problem in the past 12 months.  If you have sought help from someone in the past 12 months, please select them from the list below.  If you have not sought help, please select 'I have not sought help from anyone'.</w:t>
      </w:r>
      <w:r w:rsidR="00F76EC1">
        <w:t>”</w:t>
      </w:r>
      <w:r w:rsidR="00F76EC1">
        <w:br/>
      </w:r>
    </w:p>
    <w:p w14:paraId="0C0D25A9" w14:textId="69DE5B1D" w:rsidR="008B34EC" w:rsidRDefault="008B34EC" w:rsidP="000A3911">
      <w:pPr>
        <w:spacing w:line="480" w:lineRule="auto"/>
      </w:pPr>
      <w:r>
        <w:t>Secondary outcomes were disclosure of suicidal ideation, assessed using a single item (among participants who reported suicidal ideation), and perceived need for help (among participants who did not seek any help</w:t>
      </w:r>
      <w:r w:rsidR="003531B9">
        <w:t xml:space="preserve"> – “</w:t>
      </w:r>
      <w:r w:rsidR="003531B9" w:rsidRPr="000763B1">
        <w:rPr>
          <w:i/>
        </w:rPr>
        <w:t>Do you consider that you have ever needed help for a mental health problem?</w:t>
      </w:r>
      <w:r w:rsidR="003531B9">
        <w:t>”, yes/no</w:t>
      </w:r>
      <w:r>
        <w:t xml:space="preserve">). </w:t>
      </w:r>
      <w:r w:rsidR="003531B9">
        <w:t>Suicidal ideation in the past year was assessed using a single yes/no item from the Psychiatric Symptom Frequency scale, “</w:t>
      </w:r>
      <w:r w:rsidR="003531B9" w:rsidRPr="00B86A33">
        <w:t>In the last year have you ever</w:t>
      </w:r>
      <w:r w:rsidR="003531B9">
        <w:t xml:space="preserve"> </w:t>
      </w:r>
      <w:r w:rsidR="003531B9" w:rsidRPr="00B86A33">
        <w:t>thought about taking your own life?</w:t>
      </w:r>
      <w:r w:rsidR="003531B9">
        <w:t xml:space="preserve">” </w:t>
      </w:r>
      <w:r w:rsidR="003531B9">
        <w:fldChar w:fldCharType="begin"/>
      </w:r>
      <w:r w:rsidR="003531B9">
        <w:instrText xml:space="preserve"> ADDIN EN.CITE &lt;EndNote&gt;&lt;Cite&gt;&lt;Author&gt;Lindelow&lt;/Author&gt;&lt;Year&gt;1997&lt;/Year&gt;&lt;RecNum&gt;63&lt;/RecNum&gt;&lt;DisplayText&gt;(Lindelow, Hardy, &amp;amp; Rodgers, 1997)&lt;/DisplayText&gt;&lt;record&gt;&lt;rec-number&gt;63&lt;/rec-number&gt;&lt;foreign-keys&gt;&lt;key app="EN" db-id="rvp0dvwpadt0d3exvpn5rrfq5sdt0aawe595" timestamp="1560917227"&gt;63&lt;/key&gt;&lt;/foreign-keys&gt;&lt;ref-type name="Journal Article"&gt;17&lt;/ref-type&gt;&lt;contributors&gt;&lt;authors&gt;&lt;author&gt;Lindelow, M.&lt;/author&gt;&lt;author&gt;Hardy, R.&lt;/author&gt;&lt;author&gt;Rodgers, B.&lt;/author&gt;&lt;/authors&gt;&lt;/contributors&gt;&lt;auth-address&gt;MRC National Survey of Health and Development, University College London Medical School, Department of Epidemiology and Public Health.&lt;/auth-address&gt;&lt;titles&gt;&lt;title&gt;Development of a scale to measure symptoms of anxiety and depression in the general UK population: the psychiatric symptom frequency scale&lt;/title&gt;&lt;secondary-title&gt;J Epidemiol Community Health&lt;/secondary-title&gt;&lt;/titles&gt;&lt;periodical&gt;&lt;full-title&gt;J Epidemiol Community Health&lt;/full-title&gt;&lt;/periodical&gt;&lt;pages&gt;549-57&lt;/pages&gt;&lt;volume&gt;51&lt;/volume&gt;&lt;number&gt;5&lt;/number&gt;&lt;edition&gt;1998/01/13&lt;/edition&gt;&lt;keywords&gt;&lt;keyword&gt;Adult&lt;/keyword&gt;&lt;keyword&gt;Anxiety/*diagnosis/psychology&lt;/keyword&gt;&lt;keyword&gt;Cohort Studies&lt;/keyword&gt;&lt;keyword&gt;Depression/*diagnosis/psychology&lt;/keyword&gt;&lt;keyword&gt;Female&lt;/keyword&gt;&lt;keyword&gt;Humans&lt;/keyword&gt;&lt;keyword&gt;Male&lt;/keyword&gt;&lt;keyword&gt;Patient Acceptance of Health Care&lt;/keyword&gt;&lt;keyword&gt;*Psychiatric Status Rating Scales&lt;/keyword&gt;&lt;keyword&gt;Psychometrics&lt;/keyword&gt;&lt;keyword&gt;ROC Curve&lt;/keyword&gt;&lt;keyword&gt;Suicide/psychology&lt;/keyword&gt;&lt;keyword&gt;United Kingdom&lt;/keyword&gt;&lt;/keywords&gt;&lt;dates&gt;&lt;year&gt;1997&lt;/year&gt;&lt;pub-dates&gt;&lt;date&gt;Oct&lt;/date&gt;&lt;/pub-dates&gt;&lt;/dates&gt;&lt;isbn&gt;0143-005X (Print)&amp;#xD;0143-005X (Linking)&lt;/isbn&gt;&lt;accession-num&gt;9425466&lt;/accession-num&gt;&lt;urls&gt;&lt;related-urls&gt;&lt;url&gt;https://www.ncbi.nlm.nih.gov/pubmed/9425466&lt;/url&gt;&lt;/related-urls&gt;&lt;/urls&gt;&lt;custom2&gt;PMC1060542&lt;/custom2&gt;&lt;electronic-resource-num&gt;10.1136/jech.51.5.549&lt;/electronic-resource-num&gt;&lt;/record&gt;&lt;/Cite&gt;&lt;/EndNote&gt;</w:instrText>
      </w:r>
      <w:r w:rsidR="003531B9">
        <w:fldChar w:fldCharType="separate"/>
      </w:r>
      <w:r w:rsidR="003531B9">
        <w:rPr>
          <w:noProof/>
        </w:rPr>
        <w:t>(Lindelow, Hardy, &amp; Rodgers, 1997)</w:t>
      </w:r>
      <w:r w:rsidR="003531B9">
        <w:fldChar w:fldCharType="end"/>
      </w:r>
      <w:r w:rsidR="003531B9">
        <w:t xml:space="preserve">. </w:t>
      </w:r>
      <w:r w:rsidR="00F76EC1">
        <w:t xml:space="preserve">Predictors of </w:t>
      </w:r>
      <w:r w:rsidR="00F76EC1">
        <w:lastRenderedPageBreak/>
        <w:t xml:space="preserve">service use included residential area (self-reported as either metropolitan area, regional area or rural area), gender, age group, stigma and psychological distress. Stigma was assessed using the stigma subscale from the </w:t>
      </w:r>
      <w:r w:rsidR="00E92BDD">
        <w:t xml:space="preserve">short form of the </w:t>
      </w:r>
      <w:r w:rsidR="00F76EC1">
        <w:t xml:space="preserve">Stigma of Suicide Scale </w:t>
      </w:r>
      <w:r w:rsidR="00B86A33">
        <w:fldChar w:fldCharType="begin"/>
      </w:r>
      <w:r w:rsidR="0074451B">
        <w:instrText xml:space="preserve"> ADDIN EN.CITE &lt;EndNote&gt;&lt;Cite&gt;&lt;Author&gt;Batterham&lt;/Author&gt;&lt;Year&gt;2013&lt;/Year&gt;&lt;RecNum&gt;61&lt;/RecNum&gt;&lt;Prefix&gt;SOSS`; &lt;/Prefix&gt;&lt;DisplayText&gt;(SOSS; Batterham, Calear, &amp;amp; Christensen, 2013)&lt;/DisplayText&gt;&lt;record&gt;&lt;rec-number&gt;61&lt;/rec-number&gt;&lt;foreign-keys&gt;&lt;key app="EN" db-id="rvp0dvwpadt0d3exvpn5rrfq5sdt0aawe595" timestamp="1560916884"&gt;61&lt;/key&gt;&lt;/foreign-keys&gt;&lt;ref-type name="Journal Article"&gt;17&lt;/ref-type&gt;&lt;contributors&gt;&lt;authors&gt;&lt;author&gt;Batterham, P. J.&lt;/author&gt;&lt;author&gt;Calear, A. L.&lt;/author&gt;&lt;author&gt;Christensen, H.&lt;/author&gt;&lt;/authors&gt;&lt;/contributors&gt;&lt;auth-address&gt;Centre for Mental Health Research, The Australian National University, Canberra, Australia. philip.batterham@anu.edu.au&lt;/auth-address&gt;&lt;titles&gt;&lt;title&gt;The Stigma of Suicide Scale. Psychometric properties and correlates of the stigma of suicide&lt;/title&gt;&lt;secondary-title&gt;Crisis&lt;/secondary-title&gt;&lt;/titles&gt;&lt;periodical&gt;&lt;full-title&gt;Crisis&lt;/full-title&gt;&lt;/periodical&gt;&lt;pages&gt;13-21&lt;/pages&gt;&lt;volume&gt;34&lt;/volume&gt;&lt;number&gt;1&lt;/number&gt;&lt;edition&gt;2012/08/01&lt;/edition&gt;&lt;keywords&gt;&lt;keyword&gt;Adolescent&lt;/keyword&gt;&lt;keyword&gt;Adult&lt;/keyword&gt;&lt;keyword&gt;*Attitude to Health&lt;/keyword&gt;&lt;keyword&gt;Australia&lt;/keyword&gt;&lt;keyword&gt;Factor Analysis, Statistical&lt;/keyword&gt;&lt;keyword&gt;Female&lt;/keyword&gt;&lt;keyword&gt;Humans&lt;/keyword&gt;&lt;keyword&gt;Male&lt;/keyword&gt;&lt;keyword&gt;Psychometrics&lt;/keyword&gt;&lt;keyword&gt;Reproducibility of Results&lt;/keyword&gt;&lt;keyword&gt;Sex Factors&lt;/keyword&gt;&lt;keyword&gt;*Social Stigma&lt;/keyword&gt;&lt;keyword&gt;Suicide/*psychology&lt;/keyword&gt;&lt;keyword&gt;Young Adult&lt;/keyword&gt;&lt;/keywords&gt;&lt;dates&gt;&lt;year&gt;2013&lt;/year&gt;&lt;pub-dates&gt;&lt;date&gt;Jan 1&lt;/date&gt;&lt;/pub-dates&gt;&lt;/dates&gt;&lt;isbn&gt;2151-2396 (Electronic)&amp;#xD;0227-5910 (Linking)&lt;/isbn&gt;&lt;accession-num&gt;22846447&lt;/accession-num&gt;&lt;urls&gt;&lt;related-urls&gt;&lt;url&gt;https://www.ncbi.nlm.nih.gov/pubmed/22846447&lt;/url&gt;&lt;/related-urls&gt;&lt;/urls&gt;&lt;electronic-resource-num&gt;10.1027/0227-5910/a000156&lt;/electronic-resource-num&gt;&lt;/record&gt;&lt;/Cite&gt;&lt;/EndNote&gt;</w:instrText>
      </w:r>
      <w:r w:rsidR="00B86A33">
        <w:fldChar w:fldCharType="separate"/>
      </w:r>
      <w:r w:rsidR="002C33ED">
        <w:rPr>
          <w:noProof/>
        </w:rPr>
        <w:t>(SOSS; Batterham, Calear, &amp; Christensen, 2013)</w:t>
      </w:r>
      <w:r w:rsidR="00B86A33">
        <w:fldChar w:fldCharType="end"/>
      </w:r>
      <w:r w:rsidR="00E92BDD">
        <w:t>. The SOSS assesses</w:t>
      </w:r>
      <w:r w:rsidR="00F76EC1">
        <w:t xml:space="preserve"> personal stigma toward people who have died by suicide, based on agreement with eight descriptors, with scores ranging from </w:t>
      </w:r>
      <w:r w:rsidR="000A3911">
        <w:t>1-5 based on mean item responses</w:t>
      </w:r>
      <w:r w:rsidR="00F76EC1">
        <w:t xml:space="preserve"> </w:t>
      </w:r>
      <w:r w:rsidR="003531B9">
        <w:t xml:space="preserve">from </w:t>
      </w:r>
      <w:r w:rsidR="003531B9" w:rsidRPr="003531B9">
        <w:t>strongly disagree</w:t>
      </w:r>
      <w:r w:rsidR="003531B9">
        <w:t xml:space="preserve"> (1) to </w:t>
      </w:r>
      <w:r w:rsidR="003531B9" w:rsidRPr="003531B9">
        <w:t xml:space="preserve">strongly agree </w:t>
      </w:r>
      <w:r w:rsidR="003531B9">
        <w:t xml:space="preserve">(5) </w:t>
      </w:r>
      <w:r w:rsidR="00F76EC1">
        <w:t>(Cronbach α = 0.90 in this sample</w:t>
      </w:r>
      <w:r w:rsidR="00981552">
        <w:t xml:space="preserve">; </w:t>
      </w:r>
      <w:r w:rsidR="00981552" w:rsidRPr="00981552">
        <w:t>α = 0.9</w:t>
      </w:r>
      <w:r w:rsidR="00981552">
        <w:t>5 in the original validation study</w:t>
      </w:r>
      <w:r w:rsidR="00F76EC1" w:rsidRPr="00981552">
        <w:t>)</w:t>
      </w:r>
      <w:r w:rsidR="00F76EC1">
        <w:t xml:space="preserve">. Psychological distress was assessed based on the Distress Questionnaire-5 </w:t>
      </w:r>
      <w:r w:rsidR="00B86A33">
        <w:fldChar w:fldCharType="begin">
          <w:fldData xml:space="preserve">PEVuZE5vdGU+PENpdGU+PEF1dGhvcj5CYXR0ZXJoYW08L0F1dGhvcj48WWVhcj4yMDE2PC9ZZWFy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</w:fldData>
        </w:fldChar>
      </w:r>
      <w:r w:rsidR="0074451B">
        <w:instrText xml:space="preserve"> ADDIN EN.CITE </w:instrText>
      </w:r>
      <w:r w:rsidR="0074451B">
        <w:fldChar w:fldCharType="begin">
          <w:fldData xml:space="preserve">PEVuZE5vdGU+PENpdGU+PEF1dGhvcj5CYXR0ZXJoYW08L0F1dGhvcj48WWVhcj4yMDE2PC9ZZWFy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</w:fldData>
        </w:fldChar>
      </w:r>
      <w:r w:rsidR="0074451B">
        <w:instrText xml:space="preserve"> ADDIN EN.CITE.DATA </w:instrText>
      </w:r>
      <w:r w:rsidR="0074451B">
        <w:fldChar w:fldCharType="end"/>
      </w:r>
      <w:r w:rsidR="00B86A33">
        <w:fldChar w:fldCharType="separate"/>
      </w:r>
      <w:r w:rsidR="00B86A33">
        <w:rPr>
          <w:noProof/>
        </w:rPr>
        <w:t>(DQ5; Batterham et al., 2016)</w:t>
      </w:r>
      <w:r w:rsidR="00B86A33">
        <w:fldChar w:fldCharType="end"/>
      </w:r>
      <w:r w:rsidR="00F76EC1">
        <w:t xml:space="preserve">, a reliable unidimensional measure that captures a broad range of distress states on the basis of responses to five </w:t>
      </w:r>
      <w:r w:rsidR="000A3911">
        <w:t>items</w:t>
      </w:r>
      <w:r w:rsidR="00981552">
        <w:t xml:space="preserve"> rated “never” (1) to “always” (5) with</w:t>
      </w:r>
      <w:r w:rsidR="000A3911">
        <w:t xml:space="preserve"> scores ranging from 5-25 (Cronbach α = 0.89 in this sample</w:t>
      </w:r>
      <w:r w:rsidR="00981552">
        <w:t xml:space="preserve">; </w:t>
      </w:r>
      <w:r w:rsidR="00981552" w:rsidRPr="00981552">
        <w:t>α = 0.8</w:t>
      </w:r>
      <w:r w:rsidR="00981552">
        <w:t>6 in the original validation</w:t>
      </w:r>
      <w:r w:rsidR="000A3911" w:rsidRPr="00981552">
        <w:t>)</w:t>
      </w:r>
      <w:r w:rsidR="000A3911">
        <w:t>.</w:t>
      </w:r>
    </w:p>
    <w:p w14:paraId="6F6A7924" w14:textId="77777777" w:rsidR="000A3911" w:rsidRDefault="000A3911" w:rsidP="000A3911">
      <w:pPr>
        <w:spacing w:line="480" w:lineRule="auto"/>
      </w:pPr>
    </w:p>
    <w:p w14:paraId="62B6557C" w14:textId="7E45B96F" w:rsidR="00F76EC1" w:rsidRDefault="00F76EC1" w:rsidP="00344CE9">
      <w:pPr>
        <w:spacing w:line="480" w:lineRule="auto"/>
      </w:pPr>
      <w:r>
        <w:t xml:space="preserve">Participants were selected into the analyses on the basis of meeting clinical criteria to any of the DSM-5 diagnoses assessed in the survey, or on the basis of reporting suicidal ideation in the past 12 months. </w:t>
      </w:r>
      <w:r w:rsidR="00B86A33">
        <w:t xml:space="preserve">The assessment of clinical caseness used a comprehensive self-report checklist assessing each of the specific clinical criteria required to meet DSM-5 diagnosis for major depression, generalized anxiety disorder, social anxiety disorder, panic disorder, post-traumatic stress disorder, alcohol use disorder or substance use disorder. The items comprising the clinical assessment have been previously published in full </w:t>
      </w:r>
      <w:r w:rsidR="00B86A33">
        <w:fldChar w:fldCharType="begin">
          <w:fldData xml:space="preserve">PEVuZE5vdGU+PENpdGU+PEF1dGhvcj5CYXR0ZXJoYW08L0F1dGhvcj48WWVhcj4yMDE4PC9ZZWFy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</w:fldData>
        </w:fldChar>
      </w:r>
      <w:r w:rsidR="0074451B">
        <w:instrText xml:space="preserve"> ADDIN EN.CITE </w:instrText>
      </w:r>
      <w:r w:rsidR="0074451B">
        <w:fldChar w:fldCharType="begin">
          <w:fldData xml:space="preserve">PEVuZE5vdGU+PENpdGU+PEF1dGhvcj5CYXR0ZXJoYW08L0F1dGhvcj48WWVhcj4yMDE4PC9ZZWFy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</w:fldData>
        </w:fldChar>
      </w:r>
      <w:r w:rsidR="0074451B">
        <w:instrText xml:space="preserve"> ADDIN EN.CITE.DATA </w:instrText>
      </w:r>
      <w:r w:rsidR="0074451B">
        <w:fldChar w:fldCharType="end"/>
      </w:r>
      <w:r w:rsidR="00B86A33">
        <w:fldChar w:fldCharType="separate"/>
      </w:r>
      <w:r w:rsidR="000C792B">
        <w:rPr>
          <w:noProof/>
        </w:rPr>
        <w:t>(Batterham et al., 2018a)</w:t>
      </w:r>
      <w:r w:rsidR="00B86A33">
        <w:fldChar w:fldCharType="end"/>
      </w:r>
      <w:r w:rsidR="004639F4">
        <w:t>, although the checklist has not been validated against clinician diagnosis</w:t>
      </w:r>
      <w:r w:rsidR="00B86A33">
        <w:t xml:space="preserve">. </w:t>
      </w:r>
    </w:p>
    <w:p w14:paraId="07FA562F" w14:textId="77777777" w:rsidR="00325C13" w:rsidRDefault="00325C13" w:rsidP="00344CE9">
      <w:pPr>
        <w:spacing w:line="480" w:lineRule="auto"/>
        <w:rPr>
          <w:b/>
          <w:i/>
        </w:rPr>
      </w:pPr>
    </w:p>
    <w:p w14:paraId="29C8FE46" w14:textId="77777777" w:rsidR="00344CE9" w:rsidRPr="00DB56C9" w:rsidRDefault="00344CE9" w:rsidP="000763B1">
      <w:pPr>
        <w:keepNext/>
        <w:spacing w:line="480" w:lineRule="auto"/>
        <w:rPr>
          <w:b/>
          <w:i/>
        </w:rPr>
      </w:pPr>
      <w:r w:rsidRPr="00DB56C9">
        <w:rPr>
          <w:b/>
          <w:i/>
        </w:rPr>
        <w:t>Analysis</w:t>
      </w:r>
    </w:p>
    <w:p w14:paraId="1ECF9BEC" w14:textId="77777777" w:rsidR="00344CE9" w:rsidRPr="00AA080D" w:rsidRDefault="00344CE9" w:rsidP="00344CE9">
      <w:pPr>
        <w:spacing w:line="480" w:lineRule="auto"/>
        <w:rPr>
          <w:bCs/>
        </w:rPr>
      </w:pPr>
      <w:r>
        <w:rPr>
          <w:bCs/>
        </w:rPr>
        <w:t xml:space="preserve">Sample characteristics were described across the three categories of residential area (metropolitan, regional, rural). Primary analyses were descriptive, examining rates of the various measures of service use across the categories of residential area using chi-square </w:t>
      </w:r>
      <w:r>
        <w:rPr>
          <w:bCs/>
        </w:rPr>
        <w:lastRenderedPageBreak/>
        <w:t>statistics. Subsequently, any forms of help seeking that varied between residential areas were probed using logistic regression analyses. For these analyses, three hierarchical logistic regression models were estimated: (1) the effects of residential area and stigma of suicide, (2) adding general psychological distress as a broad indicator of symptom severity, (3) adding age and gender to capture variation in demographic characteristics.</w:t>
      </w:r>
    </w:p>
    <w:p w14:paraId="1D9D7412" w14:textId="77777777" w:rsidR="00344CE9" w:rsidRDefault="00344CE9" w:rsidP="00344CE9">
      <w:pPr>
        <w:spacing w:line="480" w:lineRule="auto"/>
        <w:rPr>
          <w:b/>
          <w:bCs/>
        </w:rPr>
      </w:pPr>
    </w:p>
    <w:p w14:paraId="3C7A8705" w14:textId="77777777" w:rsidR="00344CE9" w:rsidRPr="006E5042" w:rsidRDefault="00344CE9" w:rsidP="00344CE9">
      <w:pPr>
        <w:spacing w:line="480" w:lineRule="auto"/>
        <w:rPr>
          <w:b/>
          <w:bCs/>
        </w:rPr>
      </w:pPr>
      <w:r w:rsidRPr="006E5042">
        <w:rPr>
          <w:b/>
          <w:bCs/>
        </w:rPr>
        <w:t>Results</w:t>
      </w:r>
    </w:p>
    <w:p w14:paraId="439A924C" w14:textId="77777777" w:rsidR="00344CE9" w:rsidRDefault="00344CE9" w:rsidP="00344CE9">
      <w:pPr>
        <w:spacing w:line="480" w:lineRule="auto"/>
      </w:pPr>
      <w:r>
        <w:t xml:space="preserve">The characteristics of the sample across the three categories of residential area are provided in </w:t>
      </w:r>
      <w:r w:rsidRPr="008B34EC">
        <w:t>Table 1.</w:t>
      </w:r>
      <w:r w:rsidR="008B34EC" w:rsidRPr="008B34EC">
        <w:t xml:space="preserve"> There were few demographic differences across </w:t>
      </w:r>
      <w:r w:rsidR="008B34EC">
        <w:t xml:space="preserve">the categories of </w:t>
      </w:r>
      <w:r w:rsidR="008B34EC" w:rsidRPr="008B34EC">
        <w:t>residen</w:t>
      </w:r>
      <w:r w:rsidR="008B34EC">
        <w:t>ce</w:t>
      </w:r>
      <w:r w:rsidR="008B34EC" w:rsidRPr="008B34EC">
        <w:t>. Participants in rural areas were significantly</w:t>
      </w:r>
      <w:r w:rsidR="008B34EC">
        <w:t xml:space="preserve"> older than those in metropolitan or regional areas, with an apparent age gradient from metropolitan to rural. Participants in regional and rural areas had marginally less formal education than those in metropolitan areas. Mental health profiles differed only slightly, with marginally higher rates of alcohol use disorder in metropolitan areas and marginally elevated suicidal ideation severity and psychological distress in regional areas.</w:t>
      </w:r>
    </w:p>
    <w:p w14:paraId="1BEB5264" w14:textId="77777777" w:rsidR="00344CE9" w:rsidRDefault="00344CE9" w:rsidP="00344CE9">
      <w:pPr>
        <w:spacing w:line="480" w:lineRule="auto"/>
      </w:pPr>
    </w:p>
    <w:p w14:paraId="2DC48592" w14:textId="0BE386C0" w:rsidR="00344CE9" w:rsidRDefault="00344CE9" w:rsidP="00344CE9">
      <w:pPr>
        <w:spacing w:line="480" w:lineRule="auto"/>
      </w:pPr>
      <w:r>
        <w:t xml:space="preserve">Table 2 </w:t>
      </w:r>
      <w:r w:rsidR="00325C13">
        <w:t>provides</w:t>
      </w:r>
      <w:r>
        <w:t xml:space="preserve"> the rates of service use in metropolitan, regional and rural areas among the 2374 participants who met criteria for one or more mental disorders or reported suicidal ideation in the past month. There were no differences in overall rates of use of professional services. There were also no significant differences in help seeking from specific sources, with the exception of psychologists. Specifically, people in rural areas were 26% less likely to report having sought help from a psychologist in the past year than those in metropolitan areas (18% vs 24%), while those in regional areas had intermediate levels of psychologist use (22%). </w:t>
      </w:r>
    </w:p>
    <w:p w14:paraId="6744F134" w14:textId="77777777" w:rsidR="00344CE9" w:rsidRDefault="00344CE9" w:rsidP="00344CE9">
      <w:pPr>
        <w:spacing w:line="480" w:lineRule="auto"/>
      </w:pPr>
    </w:p>
    <w:p w14:paraId="5AE63673" w14:textId="77777777" w:rsidR="00344CE9" w:rsidRDefault="00344CE9" w:rsidP="00344CE9">
      <w:pPr>
        <w:spacing w:line="480" w:lineRule="auto"/>
      </w:pPr>
      <w:r>
        <w:lastRenderedPageBreak/>
        <w:t xml:space="preserve">There were also no differences by residential area in the rates of disclosure of suicidal ideation – although disclosure was lower among participants in rural areas, this difference was not significant overall. Among individuals who had not sought help from any formal or informal source and met criteria for a mental disorder / suicidal ideation, approximately 48% perceived a need for support, and this did not differ between residential locations. </w:t>
      </w:r>
    </w:p>
    <w:p w14:paraId="4CC3BC75" w14:textId="77777777" w:rsidR="00344CE9" w:rsidRDefault="00344CE9" w:rsidP="00344CE9">
      <w:pPr>
        <w:spacing w:line="480" w:lineRule="auto"/>
      </w:pPr>
    </w:p>
    <w:p w14:paraId="0C21B6D0" w14:textId="77777777" w:rsidR="00344CE9" w:rsidRDefault="00344CE9" w:rsidP="00344CE9">
      <w:pPr>
        <w:spacing w:line="480" w:lineRule="auto"/>
        <w:rPr>
          <w:bCs/>
        </w:rPr>
      </w:pPr>
      <w:r w:rsidRPr="008C3E66">
        <w:rPr>
          <w:bCs/>
        </w:rPr>
        <w:t xml:space="preserve">To </w:t>
      </w:r>
      <w:r>
        <w:rPr>
          <w:bCs/>
        </w:rPr>
        <w:t xml:space="preserve">further explore the differences in use of psychological services, a series of logistic regression models was estimated. The models are </w:t>
      </w:r>
      <w:r w:rsidR="00FF4BF7">
        <w:rPr>
          <w:bCs/>
        </w:rPr>
        <w:t>presented</w:t>
      </w:r>
      <w:r>
        <w:rPr>
          <w:bCs/>
        </w:rPr>
        <w:t xml:space="preserve"> in Table </w:t>
      </w:r>
      <w:r w:rsidR="00566BB4">
        <w:rPr>
          <w:bCs/>
        </w:rPr>
        <w:t>3</w:t>
      </w:r>
      <w:r>
        <w:rPr>
          <w:bCs/>
        </w:rPr>
        <w:t xml:space="preserve">. There was no significant difference in use of psychological services between regional and metropolitan areas after adjusting for stigmatising attitudes, although rates of use in rural areas remained significantly </w:t>
      </w:r>
      <w:r w:rsidR="00FF4BF7">
        <w:rPr>
          <w:bCs/>
        </w:rPr>
        <w:t xml:space="preserve">(35%) </w:t>
      </w:r>
      <w:r>
        <w:rPr>
          <w:bCs/>
        </w:rPr>
        <w:t xml:space="preserve">lower than in metropolitan areas (OR = </w:t>
      </w:r>
      <w:r w:rsidR="00FF4BF7">
        <w:rPr>
          <w:bCs/>
        </w:rPr>
        <w:t>0.648</w:t>
      </w:r>
      <w:r>
        <w:rPr>
          <w:bCs/>
        </w:rPr>
        <w:t xml:space="preserve">, </w:t>
      </w:r>
      <w:r w:rsidRPr="005C4ED6">
        <w:rPr>
          <w:bCs/>
          <w:i/>
          <w:iCs/>
        </w:rPr>
        <w:t>p</w:t>
      </w:r>
      <w:r>
        <w:rPr>
          <w:bCs/>
        </w:rPr>
        <w:t xml:space="preserve"> = .</w:t>
      </w:r>
      <w:r w:rsidR="00FF4BF7">
        <w:rPr>
          <w:bCs/>
        </w:rPr>
        <w:t>007</w:t>
      </w:r>
      <w:r>
        <w:rPr>
          <w:bCs/>
        </w:rPr>
        <w:t xml:space="preserve">). After adjusting for general psychological distress as an indicator of severity of mental health symptoms, the difference between rural and metropolitan use of psychological services was slightly attenuated but remained significant (OR = </w:t>
      </w:r>
      <w:r w:rsidR="00FF4BF7">
        <w:rPr>
          <w:bCs/>
        </w:rPr>
        <w:t>0.684</w:t>
      </w:r>
      <w:r>
        <w:rPr>
          <w:bCs/>
        </w:rPr>
        <w:t xml:space="preserve">, </w:t>
      </w:r>
      <w:r w:rsidRPr="005C4ED6">
        <w:rPr>
          <w:bCs/>
          <w:i/>
          <w:iCs/>
        </w:rPr>
        <w:t>p</w:t>
      </w:r>
      <w:r>
        <w:rPr>
          <w:bCs/>
        </w:rPr>
        <w:t xml:space="preserve"> = .</w:t>
      </w:r>
      <w:r w:rsidR="00FF4BF7">
        <w:rPr>
          <w:bCs/>
        </w:rPr>
        <w:t>019</w:t>
      </w:r>
      <w:r>
        <w:rPr>
          <w:bCs/>
        </w:rPr>
        <w:t xml:space="preserve">). After also adjusting for age group and gender, the difference was no longer significant (OR = </w:t>
      </w:r>
      <w:r w:rsidR="00FF4BF7">
        <w:rPr>
          <w:bCs/>
        </w:rPr>
        <w:t>0.747</w:t>
      </w:r>
      <w:r>
        <w:rPr>
          <w:bCs/>
        </w:rPr>
        <w:t xml:space="preserve">, </w:t>
      </w:r>
      <w:r w:rsidRPr="005C4ED6">
        <w:rPr>
          <w:bCs/>
          <w:i/>
          <w:iCs/>
        </w:rPr>
        <w:t>p</w:t>
      </w:r>
      <w:r>
        <w:rPr>
          <w:bCs/>
        </w:rPr>
        <w:t xml:space="preserve"> = .</w:t>
      </w:r>
      <w:r w:rsidR="00FF4BF7">
        <w:rPr>
          <w:bCs/>
        </w:rPr>
        <w:t>082</w:t>
      </w:r>
      <w:r>
        <w:rPr>
          <w:bCs/>
        </w:rPr>
        <w:t xml:space="preserve">). </w:t>
      </w:r>
    </w:p>
    <w:p w14:paraId="046F0908" w14:textId="77777777" w:rsidR="00F24570" w:rsidRDefault="00F24570" w:rsidP="00FF4BF7">
      <w:pPr>
        <w:spacing w:line="480" w:lineRule="auto"/>
      </w:pPr>
    </w:p>
    <w:p w14:paraId="32BA259D" w14:textId="77777777" w:rsidR="00F24570" w:rsidRDefault="00F24570" w:rsidP="00325C13">
      <w:pPr>
        <w:spacing w:line="480" w:lineRule="auto"/>
        <w:rPr>
          <w:b/>
          <w:bCs/>
        </w:rPr>
      </w:pPr>
      <w:r>
        <w:rPr>
          <w:b/>
          <w:bCs/>
        </w:rPr>
        <w:t>Discussion</w:t>
      </w:r>
    </w:p>
    <w:p w14:paraId="2A41CA3C" w14:textId="11BA2D6A" w:rsidR="00F24570" w:rsidRDefault="00F24570" w:rsidP="00566BB4">
      <w:pPr>
        <w:spacing w:line="480" w:lineRule="auto"/>
      </w:pPr>
      <w:r>
        <w:t>The findings of the current study were largely inconsistent with</w:t>
      </w:r>
      <w:r w:rsidR="006C3CEA">
        <w:t xml:space="preserve"> the</w:t>
      </w:r>
      <w:r>
        <w:t xml:space="preserve"> hypotheses. With the exception of psychological service use, there were no disparities in service use between urban and rural areas. Similarly, there were no differences in the disclosure of suicidal ideation, perceived need for help, nor in the reasons for not seeking help. Particularly surprising was a lack of differences in the use of GPs or psychiatrists for people in rural areas compared to their urban counterparts. These findings suggest that people in rural areas who experience mental ill health will seek out appropriate services, even if this requires travel into more populated areas to access the services. This </w:t>
      </w:r>
      <w:r w:rsidR="00981552">
        <w:t xml:space="preserve">explanation </w:t>
      </w:r>
      <w:r w:rsidR="00C37F2C">
        <w:t xml:space="preserve">may be </w:t>
      </w:r>
      <w:r w:rsidR="00566BB4">
        <w:t xml:space="preserve">consistent with </w:t>
      </w:r>
      <w:r w:rsidR="001C284F">
        <w:fldChar w:fldCharType="begin"/>
      </w:r>
      <w:r w:rsidR="00DA523B">
        <w:instrText xml:space="preserve"> ADDIN EN.CITE &lt;EndNote&gt;&lt;Cite AuthorYear="1"&gt;&lt;Author&gt;Fennell&lt;/Author&gt;&lt;Year&gt;2018&lt;/Year&gt;&lt;RecNum&gt;17&lt;/RecNum&gt;&lt;DisplayText&gt;Fennell, Hull, Jones, and Dollman (2018)&lt;/DisplayText&gt;&lt;record&gt;&lt;rec-number&gt;17&lt;/rec-number&gt;&lt;foreign-keys&gt;&lt;key app="EN" db-id="rvp0dvwpadt0d3exvpn5rrfq5sdt0aawe595" timestamp="1560904468"&gt;17&lt;/key&gt;&lt;/foreign-keys&gt;&lt;ref-type name="Journal Article"&gt;17&lt;/ref-type&gt;&lt;contributors&gt;&lt;authors&gt;&lt;author&gt;Fennell, Kate M&lt;/author&gt;&lt;author&gt;Hull, Melissa&lt;/author&gt;&lt;author&gt;Jones, Martin&lt;/author&gt;&lt;author&gt;Dollman, James&lt;/author&gt;&lt;/authors&gt;&lt;/contributors&gt;&lt;titles&gt;&lt;title&gt;A comparison of barriers to accessing services for mental and physical health conditions in a sample of rural Australian adults&lt;/title&gt;&lt;secondary-title&gt;Rural Remote Health&lt;/secondary-title&gt;&lt;/titles&gt;&lt;periodical&gt;&lt;full-title&gt;Rural Remote Health&lt;/full-title&gt;&lt;/periodical&gt;&lt;pages&gt;4155&lt;/pages&gt;&lt;volume&gt;18&lt;/volume&gt;&lt;number&gt;1&lt;/number&gt;&lt;dates&gt;&lt;year&gt;2018&lt;/year&gt;&lt;/dates&gt;&lt;urls&gt;&lt;/urls&gt;&lt;/record&gt;&lt;/Cite&gt;&lt;/EndNote&gt;</w:instrText>
      </w:r>
      <w:r w:rsidR="001C284F">
        <w:fldChar w:fldCharType="separate"/>
      </w:r>
      <w:r w:rsidR="00DA523B">
        <w:rPr>
          <w:noProof/>
        </w:rPr>
        <w:t xml:space="preserve">Fennell, Hull, </w:t>
      </w:r>
      <w:r w:rsidR="00DA523B">
        <w:rPr>
          <w:noProof/>
        </w:rPr>
        <w:lastRenderedPageBreak/>
        <w:t>Jones, and Dollman (2018)</w:t>
      </w:r>
      <w:r w:rsidR="001C284F">
        <w:fldChar w:fldCharType="end"/>
      </w:r>
      <w:r w:rsidR="00566BB4">
        <w:t>,</w:t>
      </w:r>
      <w:r>
        <w:t xml:space="preserve"> who found that </w:t>
      </w:r>
      <w:r w:rsidR="00981552">
        <w:t xml:space="preserve">attitudinal </w:t>
      </w:r>
      <w:r>
        <w:t xml:space="preserve">barriers to seeking support for mental health conditions </w:t>
      </w:r>
      <w:r w:rsidR="00981552">
        <w:t xml:space="preserve">were more salient than structural barriers among </w:t>
      </w:r>
      <w:r>
        <w:t>rural Australian adults.</w:t>
      </w:r>
      <w:r w:rsidR="00E96DF2">
        <w:t xml:space="preserve"> </w:t>
      </w:r>
      <w:r w:rsidR="00C37F2C">
        <w:t>Similarly,</w:t>
      </w:r>
      <w:r>
        <w:t xml:space="preserve"> rural cancer patients endorse attitudinal </w:t>
      </w:r>
      <w:r w:rsidR="00C37F2C">
        <w:t xml:space="preserve">barriers (e.g., perceived need) </w:t>
      </w:r>
      <w:r>
        <w:t xml:space="preserve">over structural </w:t>
      </w:r>
      <w:r w:rsidR="00C37F2C">
        <w:t>barriers (e.g., proximity to services) for</w:t>
      </w:r>
      <w:r>
        <w:t xml:space="preserve"> </w:t>
      </w:r>
      <w:r w:rsidR="00C37F2C">
        <w:t xml:space="preserve">use of psychosocial services </w:t>
      </w:r>
      <w:r w:rsidR="001C284F">
        <w:fldChar w:fldCharType="begin"/>
      </w:r>
      <w:r w:rsidR="0074451B">
        <w:instrText xml:space="preserve"> ADDIN EN.CITE &lt;EndNote&gt;&lt;Cite&gt;&lt;Author&gt;Corboy&lt;/Author&gt;&lt;Year&gt;2011&lt;/Year&gt;&lt;RecNum&gt;16&lt;/RecNum&gt;&lt;DisplayText&gt;(Corboy, McLaren, &amp;amp; McDonald, 2011)&lt;/DisplayText&gt;&lt;record&gt;&lt;rec-number&gt;16&lt;/rec-number&gt;&lt;foreign-keys&gt;&lt;key app="EN" db-id="rvp0dvwpadt0d3exvpn5rrfq5sdt0aawe595" timestamp="1560904468"&gt;16&lt;/key&gt;&lt;/foreign-keys&gt;&lt;ref-type name="Journal Article"&gt;17&lt;/ref-type&gt;&lt;contributors&gt;&lt;authors&gt;&lt;author&gt;Corboy, Denise&lt;/author&gt;&lt;author&gt;McLaren, Suzanne&lt;/author&gt;&lt;author&gt;McDonald, John&lt;/author&gt;&lt;/authors&gt;&lt;/contributors&gt;&lt;titles&gt;&lt;title&gt;Predictors of support service use by rural and regional men with cancer&lt;/title&gt;&lt;secondary-title&gt;Australian Journal of Rural Health&lt;/secondary-title&gt;&lt;/titles&gt;&lt;periodical&gt;&lt;full-title&gt;Australian Journal of Rural Health&lt;/full-title&gt;&lt;/periodical&gt;&lt;pages&gt;185-190&lt;/pages&gt;&lt;volume&gt;19&lt;/volume&gt;&lt;number&gt;4&lt;/number&gt;&lt;dates&gt;&lt;year&gt;2011&lt;/year&gt;&lt;/dates&gt;&lt;isbn&gt;1038-5282&lt;/isbn&gt;&lt;urls&gt;&lt;/urls&gt;&lt;/record&gt;&lt;/Cite&gt;&lt;/EndNote&gt;</w:instrText>
      </w:r>
      <w:r w:rsidR="001C284F">
        <w:fldChar w:fldCharType="separate"/>
      </w:r>
      <w:r w:rsidR="002C33ED">
        <w:rPr>
          <w:noProof/>
        </w:rPr>
        <w:t>(Corboy, McLaren, &amp; McDonald, 2011)</w:t>
      </w:r>
      <w:r w:rsidR="001C284F">
        <w:fldChar w:fldCharType="end"/>
      </w:r>
      <w:r>
        <w:t xml:space="preserve">. </w:t>
      </w:r>
    </w:p>
    <w:p w14:paraId="38F81D3D" w14:textId="77777777" w:rsidR="00F24570" w:rsidRDefault="00F24570" w:rsidP="00566BB4">
      <w:pPr>
        <w:spacing w:line="480" w:lineRule="auto"/>
      </w:pPr>
    </w:p>
    <w:p w14:paraId="218684E7" w14:textId="63DB6D57" w:rsidR="00F24570" w:rsidRDefault="00F24570" w:rsidP="00566BB4">
      <w:pPr>
        <w:spacing w:line="480" w:lineRule="auto"/>
      </w:pPr>
      <w:r>
        <w:t xml:space="preserve">The exception of psychological services suggests that limited </w:t>
      </w:r>
      <w:r w:rsidR="0067358A">
        <w:t xml:space="preserve">accessibility to </w:t>
      </w:r>
      <w:r>
        <w:t xml:space="preserve">psychologists in rural areas </w:t>
      </w:r>
      <w:r w:rsidR="0067358A">
        <w:fldChar w:fldCharType="begin">
          <w:fldData xml:space="preserve">PEVuZE5vdGU+PENpdGU+PEF1dGhvcj5TdXRoZXJsYW5kPC9BdXRob3I+PFllYXI+MjAxNDwvWWVh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</w:fldData>
        </w:fldChar>
      </w:r>
      <w:r w:rsidR="0067358A">
        <w:instrText xml:space="preserve"> ADDIN EN.CITE </w:instrText>
      </w:r>
      <w:r w:rsidR="0067358A">
        <w:fldChar w:fldCharType="begin">
          <w:fldData xml:space="preserve">PEVuZE5vdGU+PENpdGU+PEF1dGhvcj5TdXRoZXJsYW5kPC9BdXRob3I+PFllYXI+MjAxNDwvWWVh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</w:fldData>
        </w:fldChar>
      </w:r>
      <w:r w:rsidR="0067358A">
        <w:instrText xml:space="preserve"> ADDIN EN.CITE.DATA </w:instrText>
      </w:r>
      <w:r w:rsidR="0067358A">
        <w:fldChar w:fldCharType="end"/>
      </w:r>
      <w:r w:rsidR="0067358A">
        <w:fldChar w:fldCharType="separate"/>
      </w:r>
      <w:r w:rsidR="0067358A">
        <w:rPr>
          <w:noProof/>
        </w:rPr>
        <w:t>(Aisbett et al., 2007; Sutherland &amp; Chur-Hansen, 2014)</w:t>
      </w:r>
      <w:r w:rsidR="0067358A">
        <w:fldChar w:fldCharType="end"/>
      </w:r>
      <w:r w:rsidR="0067358A">
        <w:t xml:space="preserve"> </w:t>
      </w:r>
      <w:r w:rsidR="00C37F2C">
        <w:t xml:space="preserve">may be </w:t>
      </w:r>
      <w:r>
        <w:t xml:space="preserve">a barrier to the delivery of evidence-based treatments. This reduced accessibility may be partly </w:t>
      </w:r>
      <w:r w:rsidRPr="003E0E0A">
        <w:t xml:space="preserve">counteracted through access to GPs and internet-based cognitive behavioural therapy programs </w:t>
      </w:r>
      <w:r w:rsidR="001C284F">
        <w:fldChar w:fldCharType="begin"/>
      </w:r>
      <w:r w:rsidR="0074451B">
        <w:instrText xml:space="preserve"> ADDIN EN.CITE &lt;EndNote&gt;&lt;Cite&gt;&lt;Author&gt;Fitzpatrick&lt;/Author&gt;&lt;Year&gt;2018&lt;/Year&gt;&lt;RecNum&gt;11&lt;/RecNum&gt;&lt;DisplayText&gt;(Fitzpatrick et al., 2018; Sinclair, Holloway, Riley, &amp;amp; Auret, 2013)&lt;/DisplayText&gt;&lt;record&gt;&lt;rec-number&gt;11&lt;/rec-number&gt;&lt;foreign-keys&gt;&lt;key app="EN" db-id="rvp0dvwpadt0d3exvpn5rrfq5sdt0aawe595" timestamp="1560904467"&gt;11&lt;/key&gt;&lt;/foreign-keys&gt;&lt;ref-type name="Journal Article"&gt;17&lt;/ref-type&gt;&lt;contributors&gt;&lt;authors&gt;&lt;author&gt;Fitzpatrick, Scott J&lt;/author&gt;&lt;author&gt;Perkins, David&lt;/author&gt;&lt;author&gt;Handley, Tonelle&lt;/author&gt;&lt;author&gt;Brown, Dale&lt;/author&gt;&lt;author&gt;Luland, Teresa&lt;/author&gt;&lt;author&gt;Corvan, Eamonn&lt;/author&gt;&lt;/authors&gt;&lt;/contributors&gt;&lt;titles&gt;&lt;title&gt;Coordinating Mental and Physical Health Care in Rural Australia: An Integrated Model for Primary Care Settings&lt;/title&gt;&lt;secondary-title&gt;International journal of integrated care&lt;/secondary-title&gt;&lt;/titles&gt;&lt;periodical&gt;&lt;full-title&gt;International journal of integrated care&lt;/full-title&gt;&lt;/periodical&gt;&lt;volume&gt;18&lt;/volume&gt;&lt;dates&gt;&lt;year&gt;2018&lt;/year&gt;&lt;/dates&gt;&lt;isbn&gt;1568-4156&lt;/isbn&gt;&lt;urls&gt;&lt;/urls&gt;&lt;/record&gt;&lt;/Cite&gt;&lt;Cite&gt;&lt;Author&gt;Sinclair&lt;/Author&gt;&lt;Year&gt;2013&lt;/Year&gt;&lt;RecNum&gt;27&lt;/RecNum&gt;&lt;record&gt;&lt;rec-number&gt;27&lt;/rec-number&gt;&lt;foreign-keys&gt;&lt;key app="EN" db-id="rvp0dvwpadt0d3exvpn5rrfq5sdt0aawe595" timestamp="1560904469"&gt;27&lt;/key&gt;&lt;/foreign-keys&gt;&lt;ref-type name="Journal Article"&gt;17&lt;/ref-type&gt;&lt;contributors&gt;&lt;authors&gt;&lt;author&gt;Sinclair, Craig&lt;/author&gt;&lt;author&gt;Holloway, Kristi&lt;/author&gt;&lt;author&gt;Riley, Geoffrey&lt;/author&gt;&lt;author&gt;Auret, Kirsten&lt;/author&gt;&lt;/authors&gt;&lt;/contributors&gt;&lt;titles&gt;&lt;title&gt;Online mental health resources in rural Australia: clinician perceptions of acceptability&lt;/title&gt;&lt;secondary-title&gt;Journal of medical Internet research&lt;/secondary-title&gt;&lt;/titles&gt;&lt;periodical&gt;&lt;full-title&gt;Journal of medical Internet research&lt;/full-title&gt;&lt;/periodical&gt;&lt;pages&gt;e193&lt;/pages&gt;&lt;volume&gt;15&lt;/volume&gt;&lt;number&gt;9&lt;/number&gt;&lt;dates&gt;&lt;year&gt;2013&lt;/year&gt;&lt;/dates&gt;&lt;urls&gt;&lt;/urls&gt;&lt;/record&gt;&lt;/Cite&gt;&lt;/EndNote&gt;</w:instrText>
      </w:r>
      <w:r w:rsidR="001C284F">
        <w:fldChar w:fldCharType="separate"/>
      </w:r>
      <w:r w:rsidR="002C33ED">
        <w:rPr>
          <w:noProof/>
        </w:rPr>
        <w:t>(Fitzpatrick et al., 2018; Sinclair, Holloway, Riley, &amp; Auret, 2013)</w:t>
      </w:r>
      <w:r w:rsidR="001C284F">
        <w:fldChar w:fldCharType="end"/>
      </w:r>
      <w:r w:rsidR="0074451B">
        <w:t xml:space="preserve">. Although there were no differences in the rates of GP use in this study, there remains the possibility that rural residents use GPs with greater frequency for their mental health needs </w:t>
      </w:r>
      <w:r w:rsidR="0074451B">
        <w:fldChar w:fldCharType="begin"/>
      </w:r>
      <w:r w:rsidR="0074451B">
        <w:instrText xml:space="preserve"> ADDIN EN.CITE &lt;EndNote&gt;&lt;Cite&gt;&lt;Author&gt;Kelly&lt;/Author&gt;&lt;Year&gt;2010&lt;/Year&gt;&lt;RecNum&gt;39&lt;/RecNum&gt;&lt;DisplayText&gt;(Kelly et al., 2010b)&lt;/DisplayText&gt;&lt;record&gt;&lt;rec-number&gt;39&lt;/rec-number&gt;&lt;foreign-keys&gt;&lt;key app="EN" db-id="rvp0dvwpadt0d3exvpn5rrfq5sdt0aawe595" timestamp="1560904471"&gt;39&lt;/key&gt;&lt;/foreign-keys&gt;&lt;ref-type name="Journal Article"&gt;17&lt;/ref-type&gt;&lt;contributors&gt;&lt;authors&gt;&lt;author&gt;Kelly, Brian J&lt;/author&gt;&lt;author&gt;Stain, Helen J&lt;/author&gt;&lt;author&gt;Coleman, Clare&lt;/author&gt;&lt;author&gt;Perkins, David&lt;/author&gt;&lt;author&gt;Fragar, Lyn&lt;/author&gt;&lt;author&gt;Fuller, Jeffrey&lt;/author&gt;&lt;author&gt;Lewin, Terry J&lt;/author&gt;&lt;author&gt;Lyle, David&lt;/author&gt;&lt;author&gt;Carr, Vaughan J&lt;/author&gt;&lt;author&gt;Wilson, Jacqueline M %J Australian Journal of Rural Health&lt;/author&gt;&lt;/authors&gt;&lt;/contributors&gt;&lt;titles&gt;&lt;title&gt;Mental health and well‐being within rural communities: The Australian Rural Mental Health Study&lt;/title&gt;&lt;/titles&gt;&lt;pages&gt;16-24&lt;/pages&gt;&lt;volume&gt;18&lt;/volume&gt;&lt;number&gt;1&lt;/number&gt;&lt;dates&gt;&lt;year&gt;2010&lt;/year&gt;&lt;/dates&gt;&lt;isbn&gt;1038-5282&lt;/isbn&gt;&lt;urls&gt;&lt;/urls&gt;&lt;/record&gt;&lt;/Cite&gt;&lt;/EndNote&gt;</w:instrText>
      </w:r>
      <w:r w:rsidR="0074451B">
        <w:fldChar w:fldCharType="separate"/>
      </w:r>
      <w:r w:rsidR="0074451B">
        <w:rPr>
          <w:noProof/>
        </w:rPr>
        <w:t>(Kelly et al., 2010b)</w:t>
      </w:r>
      <w:r w:rsidR="0074451B">
        <w:fldChar w:fldCharType="end"/>
      </w:r>
      <w:r w:rsidRPr="003E0E0A">
        <w:t xml:space="preserve">. </w:t>
      </w:r>
      <w:r w:rsidR="0067358A">
        <w:t xml:space="preserve">There were also </w:t>
      </w:r>
      <w:r w:rsidR="0067358A" w:rsidRPr="0067358A">
        <w:t xml:space="preserve">no differences in rates of psychiatric service use, which may suggest that individuals with </w:t>
      </w:r>
      <w:r w:rsidR="0067358A">
        <w:t xml:space="preserve">more </w:t>
      </w:r>
      <w:r w:rsidR="0067358A" w:rsidRPr="0067358A">
        <w:t xml:space="preserve">severe or chronic </w:t>
      </w:r>
      <w:r w:rsidR="0067358A">
        <w:t xml:space="preserve">mental illness in rural areas access psychiatric services despite potential structural barriers. </w:t>
      </w:r>
      <w:r w:rsidRPr="003E0E0A">
        <w:t>Even when psychological services are available, there is some evidence to suggest that people in rural areas may remain reluctant to seek ou</w:t>
      </w:r>
      <w:r w:rsidR="00A2586B">
        <w:t xml:space="preserve">t care within their local area </w:t>
      </w:r>
      <w:r w:rsidR="001C284F">
        <w:fldChar w:fldCharType="begin"/>
      </w:r>
      <w:r w:rsidR="00DA523B">
        <w:instrText xml:space="preserve"> ADDIN EN.CITE &lt;EndNote&gt;&lt;Cite&gt;&lt;Author&gt;Perceval&lt;/Author&gt;&lt;Year&gt;2018&lt;/Year&gt;&lt;RecNum&gt;21&lt;/RecNum&gt;&lt;DisplayText&gt;(Perceval, Ross, Kõlves, Reddy, &amp;amp; De Leo, 2018)&lt;/DisplayText&gt;&lt;record&gt;&lt;rec-number&gt;21&lt;/rec-number&gt;&lt;foreign-keys&gt;&lt;key app="EN" db-id="rvp0dvwpadt0d3exvpn5rrfq5sdt0aawe595" timestamp="1560904468"&gt;21&lt;/key&gt;&lt;/foreign-keys&gt;&lt;ref-type name="Journal Article"&gt;17&lt;/ref-type&gt;&lt;contributors&gt;&lt;authors&gt;&lt;author&gt;Perceval, Meg&lt;/author&gt;&lt;author&gt;Ross, Victoria&lt;/author&gt;&lt;author&gt;Kõlves, Kairi&lt;/author&gt;&lt;author&gt;Reddy, Prasuna&lt;/author&gt;&lt;author&gt;De Leo, Diego&lt;/author&gt;&lt;/authors&gt;&lt;/contributors&gt;&lt;titles&gt;&lt;title&gt;Social factors and Australian farmer suicide: a qualitative study&lt;/title&gt;&lt;secondary-title&gt;BMC public health&lt;/secondary-title&gt;&lt;/titles&gt;&lt;periodical&gt;&lt;full-title&gt;BMC public health&lt;/full-title&gt;&lt;/periodical&gt;&lt;pages&gt;1367&lt;/pages&gt;&lt;volume&gt;18&lt;/volume&gt;&lt;number&gt;1&lt;/number&gt;&lt;dates&gt;&lt;year&gt;2018&lt;/year&gt;&lt;/dates&gt;&lt;isbn&gt;1471-2458&lt;/isbn&gt;&lt;urls&gt;&lt;/urls&gt;&lt;/record&gt;&lt;/Cite&gt;&lt;/EndNote&gt;</w:instrText>
      </w:r>
      <w:r w:rsidR="001C284F">
        <w:fldChar w:fldCharType="separate"/>
      </w:r>
      <w:r w:rsidR="00DA523B">
        <w:rPr>
          <w:noProof/>
        </w:rPr>
        <w:t>(Perceval, Ross, Kõlves, Reddy, &amp; De Leo, 2018)</w:t>
      </w:r>
      <w:r w:rsidR="001C284F">
        <w:fldChar w:fldCharType="end"/>
      </w:r>
      <w:r w:rsidRPr="003E0E0A">
        <w:t xml:space="preserve">, potentially due to the stigma associated with accessing mental health care </w:t>
      </w:r>
      <w:r w:rsidR="001C284F">
        <w:fldChar w:fldCharType="begin">
          <w:fldData xml:space="preserve">PEVuZE5vdGU+PENpdGU+PEF1dGhvcj5DaGVlc21vbmQ8L0F1dGhvcj48WWVhcj4yMDE5PC9ZZWFy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=
</w:fldData>
        </w:fldChar>
      </w:r>
      <w:r w:rsidR="0074451B">
        <w:instrText xml:space="preserve"> ADDIN EN.CITE </w:instrText>
      </w:r>
      <w:r w:rsidR="0074451B">
        <w:fldChar w:fldCharType="begin">
          <w:fldData xml:space="preserve">PEVuZE5vdGU+PENpdGU+PEF1dGhvcj5DaGVlc21vbmQ8L0F1dGhvcj48WWVhcj4yMDE5PC9ZZWFy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=
</w:fldData>
        </w:fldChar>
      </w:r>
      <w:r w:rsidR="0074451B">
        <w:instrText xml:space="preserve"> ADDIN EN.CITE.DATA </w:instrText>
      </w:r>
      <w:r w:rsidR="0074451B">
        <w:fldChar w:fldCharType="end"/>
      </w:r>
      <w:r w:rsidR="001C284F">
        <w:fldChar w:fldCharType="separate"/>
      </w:r>
      <w:r w:rsidR="00566BB4">
        <w:rPr>
          <w:noProof/>
        </w:rPr>
        <w:t>(Cheesmond et al., 2019; Rost et al., 1993)</w:t>
      </w:r>
      <w:r w:rsidR="001C284F">
        <w:fldChar w:fldCharType="end"/>
      </w:r>
      <w:r>
        <w:t xml:space="preserve">. However, we found no </w:t>
      </w:r>
      <w:r w:rsidRPr="00D17051">
        <w:t>significant differences in stigma between</w:t>
      </w:r>
      <w:r>
        <w:t xml:space="preserve"> categories of residential areas. Overall differences in use of psychological services were attenuated and no longer significant after adjusting for stigma, severity of symptoms and demographic characteristics. The regression analyses suggest that the observed differences in service use may have been partly attributable to different attitudes and varying representation on the basis of symptom severity and demographic patterns. </w:t>
      </w:r>
    </w:p>
    <w:p w14:paraId="40A5604B" w14:textId="77777777" w:rsidR="00566BB4" w:rsidRDefault="00566BB4" w:rsidP="00566BB4">
      <w:pPr>
        <w:spacing w:line="480" w:lineRule="auto"/>
      </w:pPr>
    </w:p>
    <w:p w14:paraId="236BF6F0" w14:textId="317F26D2" w:rsidR="00325C13" w:rsidRDefault="00F24570" w:rsidP="00325C13">
      <w:pPr>
        <w:spacing w:line="480" w:lineRule="auto"/>
      </w:pPr>
      <w:r>
        <w:t xml:space="preserve">The need for personal insight and understanding of the presentation of mental illness may </w:t>
      </w:r>
      <w:r w:rsidR="00325C13">
        <w:t xml:space="preserve">have influenced the outcomes of </w:t>
      </w:r>
      <w:r>
        <w:t xml:space="preserve">this study. </w:t>
      </w:r>
      <w:r w:rsidR="00A573C1">
        <w:t>Poor mental health literacy may impact on an individual’s ability to recognise that they need to seek help</w:t>
      </w:r>
      <w:r w:rsidR="0010454D">
        <w:t xml:space="preserve"> </w:t>
      </w:r>
      <w:r w:rsidR="00E6388F">
        <w:fldChar w:fldCharType="begin"/>
      </w:r>
      <w:r w:rsidR="002C33ED">
        <w:instrText xml:space="preserve"> ADDIN EN.CITE &lt;EndNote&gt;&lt;Cite&gt;&lt;Author&gt;Handley&lt;/Author&gt;&lt;Year&gt;2018&lt;/Year&gt;&lt;RecNum&gt;35&lt;/RecNum&gt;&lt;DisplayText&gt;(Handley, Lewin, Perkins, &amp;amp; Kelly, 2018)&lt;/DisplayText&gt;&lt;record&gt;&lt;rec-number&gt;35&lt;/rec-number&gt;&lt;foreign-keys&gt;&lt;key app="EN" db-id="2vrexwtw629f23erx0lpptwy909fxvaarxpd" timestamp="1565251534"&gt;35&lt;/key&gt;&lt;/foreign-keys&gt;&lt;ref-type name="Journal Article"&gt;17&lt;/ref-type&gt;&lt;contributors&gt;&lt;authors&gt;&lt;author&gt;Handley, Tonelle E&lt;/author&gt;&lt;author&gt;Lewin, Terry J&lt;/author&gt;&lt;author&gt;Perkins, David&lt;/author&gt;&lt;author&gt;Kelly, Brian&lt;/author&gt;&lt;/authors&gt;&lt;/contributors&gt;&lt;titles&gt;&lt;title&gt;Self‐recognition of mental health problems in a rural Australian sample&lt;/title&gt;&lt;secondary-title&gt;Australian journal of rural health&lt;/secondary-title&gt;&lt;/titles&gt;&lt;periodical&gt;&lt;full-title&gt;Australian Journal of Rural Health&lt;/full-title&gt;&lt;/periodical&gt;&lt;pages&gt;173-180&lt;/pages&gt;&lt;volume&gt;26&lt;/volume&gt;&lt;number&gt;3&lt;/number&gt;&lt;dates&gt;&lt;year&gt;2018&lt;/year&gt;&lt;/dates&gt;&lt;isbn&gt;1038-5282&lt;/isbn&gt;&lt;urls&gt;&lt;/urls&gt;&lt;/record&gt;&lt;/Cite&gt;&lt;/EndNote&gt;</w:instrText>
      </w:r>
      <w:r w:rsidR="00E6388F">
        <w:fldChar w:fldCharType="separate"/>
      </w:r>
      <w:r w:rsidR="002C33ED">
        <w:rPr>
          <w:noProof/>
        </w:rPr>
        <w:t>(Handley, Lewin, Perkins, &amp; Kelly, 2018)</w:t>
      </w:r>
      <w:r w:rsidR="00E6388F">
        <w:fldChar w:fldCharType="end"/>
      </w:r>
      <w:r w:rsidR="00A573C1">
        <w:t xml:space="preserve">. </w:t>
      </w:r>
      <w:r>
        <w:t xml:space="preserve">Normalisation of symptoms associated with common mental illness presentations, dismissive attitudes linked to lack of knowledge and a self-sufficient coping framework may </w:t>
      </w:r>
      <w:r w:rsidR="00325C13">
        <w:t xml:space="preserve">have </w:t>
      </w:r>
      <w:r>
        <w:t>impact</w:t>
      </w:r>
      <w:r w:rsidR="00325C13">
        <w:t>ed</w:t>
      </w:r>
      <w:r>
        <w:t xml:space="preserve"> on the lack of disparity in service use and disclosure between rural and urban areas.</w:t>
      </w:r>
      <w:r w:rsidR="006C3CEA">
        <w:t xml:space="preserve"> </w:t>
      </w:r>
      <w:r w:rsidR="00325C13">
        <w:t>Nevertheless, we found no evidence of differences in perceived need for care across residential categories, suggesting recognition was not a key contributor to disparities in use of psychological services.</w:t>
      </w:r>
    </w:p>
    <w:p w14:paraId="7FED18EB" w14:textId="77777777" w:rsidR="00566BB4" w:rsidRDefault="00566BB4" w:rsidP="00566BB4">
      <w:pPr>
        <w:spacing w:line="480" w:lineRule="auto"/>
      </w:pPr>
    </w:p>
    <w:p w14:paraId="64049A76" w14:textId="054BC564" w:rsidR="00A573C1" w:rsidRDefault="00A025FA" w:rsidP="00566BB4">
      <w:pPr>
        <w:spacing w:line="480" w:lineRule="auto"/>
      </w:pPr>
      <w:r>
        <w:t xml:space="preserve">Developing </w:t>
      </w:r>
      <w:r w:rsidR="007A7BBB">
        <w:t>model</w:t>
      </w:r>
      <w:r>
        <w:t>s</w:t>
      </w:r>
      <w:r w:rsidR="007A7BBB">
        <w:t xml:space="preserve"> of health care</w:t>
      </w:r>
      <w:r>
        <w:t xml:space="preserve"> tailored to </w:t>
      </w:r>
      <w:r w:rsidR="007A7BBB">
        <w:t xml:space="preserve">the cultural </w:t>
      </w:r>
      <w:r w:rsidR="000E4803">
        <w:t xml:space="preserve">and social </w:t>
      </w:r>
      <w:r>
        <w:t xml:space="preserve">factors underlying </w:t>
      </w:r>
      <w:r w:rsidR="007A7BBB">
        <w:t>rural and remote needs</w:t>
      </w:r>
      <w:r w:rsidR="000E4803">
        <w:t xml:space="preserve"> is warranted </w:t>
      </w:r>
      <w:r w:rsidR="001C284F">
        <w:fldChar w:fldCharType="begin"/>
      </w:r>
      <w:r w:rsidR="002C33ED">
        <w:instrText xml:space="preserve"> ADDIN EN.CITE &lt;EndNote&gt;&lt;Cite&gt;&lt;Author&gt;Wilson&lt;/Author&gt;&lt;Year&gt;2015&lt;/Year&gt;&lt;RecNum&gt;45&lt;/RecNum&gt;&lt;DisplayText&gt;(Wilson, Wilson, &amp;amp; Usher, 2015)&lt;/DisplayText&gt;&lt;record&gt;&lt;rec-number&gt;45&lt;/rec-number&gt;&lt;foreign-keys&gt;&lt;key app="EN" db-id="2vrexwtw629f23erx0lpptwy909fxvaarxpd" timestamp="1565251535"&gt;45&lt;/key&gt;&lt;/foreign-keys&gt;&lt;ref-type name="Journal Article"&gt;17&lt;/ref-type&gt;&lt;contributors&gt;&lt;authors&gt;&lt;author&gt;Wilson, Rhonda L&lt;/author&gt;&lt;author&gt;Wilson, G Glenn&lt;/author&gt;&lt;author&gt;Usher, Kim&lt;/author&gt;&lt;/authors&gt;&lt;/contributors&gt;&lt;titles&gt;&lt;title&gt;Rural mental health ecology: a framework for engaging with mental health social capital in rural communities&lt;/title&gt;&lt;secondary-title&gt;EcoHealth&lt;/secondary-title&gt;&lt;/titles&gt;&lt;periodical&gt;&lt;full-title&gt;EcoHealth&lt;/full-title&gt;&lt;/periodical&gt;&lt;pages&gt;412-420&lt;/pages&gt;&lt;volume&gt;12&lt;/volume&gt;&lt;number&gt;3&lt;/number&gt;&lt;dates&gt;&lt;year&gt;2015&lt;/year&gt;&lt;/dates&gt;&lt;isbn&gt;1612-9202&lt;/isbn&gt;&lt;urls&gt;&lt;/urls&gt;&lt;/record&gt;&lt;/Cite&gt;&lt;/EndNote&gt;</w:instrText>
      </w:r>
      <w:r w:rsidR="001C284F">
        <w:fldChar w:fldCharType="separate"/>
      </w:r>
      <w:r w:rsidR="002C33ED">
        <w:rPr>
          <w:noProof/>
        </w:rPr>
        <w:t>(Wilson, Wilson, &amp; Usher, 2015)</w:t>
      </w:r>
      <w:r w:rsidR="001C284F">
        <w:fldChar w:fldCharType="end"/>
      </w:r>
      <w:r w:rsidR="00F24570">
        <w:t>.</w:t>
      </w:r>
      <w:r w:rsidR="009F3EF9">
        <w:t xml:space="preserve"> </w:t>
      </w:r>
      <w:r w:rsidR="004D5C2D">
        <w:t xml:space="preserve">Locally-driven approaches to mental health have a number of advantages including reflecting </w:t>
      </w:r>
      <w:r w:rsidR="004D5C2D" w:rsidRPr="003E0E0A">
        <w:t xml:space="preserve">community needs and capacities and sharing values of local practitioners and organisations </w:t>
      </w:r>
      <w:r w:rsidR="001C284F">
        <w:fldChar w:fldCharType="begin"/>
      </w:r>
      <w:r w:rsidR="0074451B">
        <w:instrText xml:space="preserve"> ADDIN EN.CITE &lt;EndNote&gt;&lt;Cite&gt;&lt;Author&gt;Kelly&lt;/Author&gt;&lt;Year&gt;2010&lt;/Year&gt;&lt;RecNum&gt;40&lt;/RecNum&gt;&lt;DisplayText&gt;(Kelly et al., 2010a)&lt;/DisplayText&gt;&lt;record&gt;&lt;rec-number&gt;40&lt;/rec-number&gt;&lt;foreign-keys&gt;&lt;key app="EN" db-id="2vrexwtw629f23erx0lpptwy909fxvaarxpd" timestamp="1565251535"&gt;40&lt;/key&gt;&lt;/foreign-keys&gt;&lt;ref-type name="Journal Article"&gt;17&lt;/ref-type&gt;&lt;contributors&gt;&lt;authors&gt;&lt;author&gt;Kelly, Brian J&lt;/author&gt;&lt;author&gt;Stain, Helen J&lt;/author&gt;&lt;author&gt;Coleman, Clare&lt;/author&gt;&lt;author&gt;Perkins, David&lt;/author&gt;&lt;author&gt;Fragar, Lyn&lt;/author&gt;&lt;author&gt;Fuller, Jeffrey&lt;/author&gt;&lt;author&gt;Lewin, Terry J&lt;/author&gt;&lt;author&gt;Lyle, David&lt;/author&gt;&lt;author&gt;Carr, Vaughan J&lt;/author&gt;&lt;author&gt;Wilson, Jacqueline M&lt;/author&gt;&lt;/authors&gt;&lt;/contributors&gt;&lt;titles&gt;&lt;title&gt;Mental health and well‐being within rural communities: The Australian Rural Mental Health Study&lt;/title&gt;&lt;secondary-title&gt;Australian Journal of Rural Health&lt;/secondary-title&gt;&lt;/titles&gt;&lt;periodical&gt;&lt;full-title&gt;Australian Journal of Rural Health&lt;/full-title&gt;&lt;/periodical&gt;&lt;pages&gt;16-24&lt;/pages&gt;&lt;volume&gt;18&lt;/volume&gt;&lt;number&gt;1&lt;/number&gt;&lt;dates&gt;&lt;year&gt;2010&lt;/year&gt;&lt;/dates&gt;&lt;isbn&gt;1038-5282&lt;/isbn&gt;&lt;urls&gt;&lt;/urls&gt;&lt;/record&gt;&lt;/Cite&gt;&lt;/EndNote&gt;</w:instrText>
      </w:r>
      <w:r w:rsidR="001C284F">
        <w:fldChar w:fldCharType="separate"/>
      </w:r>
      <w:r w:rsidR="0074451B">
        <w:rPr>
          <w:noProof/>
        </w:rPr>
        <w:t>(Kelly et al., 2010a)</w:t>
      </w:r>
      <w:r w:rsidR="001C284F">
        <w:fldChar w:fldCharType="end"/>
      </w:r>
      <w:r w:rsidR="004D5C2D" w:rsidRPr="003E0E0A">
        <w:t>.</w:t>
      </w:r>
      <w:r w:rsidR="004D5C2D">
        <w:t xml:space="preserve"> </w:t>
      </w:r>
      <w:r w:rsidR="00F705C9">
        <w:t xml:space="preserve">Taking advantage of </w:t>
      </w:r>
      <w:r w:rsidR="00D31DF8">
        <w:t xml:space="preserve">the strong </w:t>
      </w:r>
      <w:r w:rsidR="00F705C9">
        <w:t xml:space="preserve">social </w:t>
      </w:r>
      <w:r w:rsidR="00D31DF8">
        <w:t>cohesion</w:t>
      </w:r>
      <w:r w:rsidR="00143B57">
        <w:t xml:space="preserve"> </w:t>
      </w:r>
      <w:r w:rsidR="00D31DF8">
        <w:t xml:space="preserve">often seen in rural areas </w:t>
      </w:r>
      <w:r w:rsidR="00143B57">
        <w:t xml:space="preserve">may provide a framework </w:t>
      </w:r>
      <w:r w:rsidR="00A94446">
        <w:t xml:space="preserve">for encouraging help-seeking by approaching mental health from a </w:t>
      </w:r>
      <w:r w:rsidR="00D31DF8">
        <w:t xml:space="preserve">community </w:t>
      </w:r>
      <w:r w:rsidR="00A94446">
        <w:t>self-sufficiency perspective</w:t>
      </w:r>
      <w:r w:rsidR="00771839">
        <w:t xml:space="preserve"> </w:t>
      </w:r>
      <w:r w:rsidR="001C284F">
        <w:fldChar w:fldCharType="begin"/>
      </w:r>
      <w:r w:rsidR="0074451B">
        <w:instrText xml:space="preserve"> ADDIN EN.CITE &lt;EndNote&gt;&lt;Cite&gt;&lt;Author&gt;Boyd&lt;/Author&gt;&lt;Year&gt;2008&lt;/Year&gt;&lt;RecNum&gt;46&lt;/RecNum&gt;&lt;DisplayText&gt;(Boyd &amp;amp; Parr, 2008; Wilson et al., 2015)&lt;/DisplayText&gt;&lt;record&gt;&lt;rec-number&gt;46&lt;/rec-number&gt;&lt;foreign-keys&gt;&lt;key app="EN" db-id="rvp0dvwpadt0d3exvpn5rrfq5sdt0aawe595" timestamp="1560904472"&gt;46&lt;/key&gt;&lt;/foreign-keys&gt;&lt;ref-type name="Journal Article"&gt;17&lt;/ref-type&gt;&lt;contributors&gt;&lt;authors&gt;&lt;author&gt;Boyd, CP&lt;/author&gt;&lt;author&gt;Parr, Hester&lt;/author&gt;&lt;/authors&gt;&lt;/contributors&gt;&lt;titles&gt;&lt;title&gt;Social geography and rural mental health research&lt;/title&gt;&lt;secondary-title&gt;Rural and remote health&lt;/secondary-title&gt;&lt;/titles&gt;&lt;periodical&gt;&lt;full-title&gt;Rural and remote health&lt;/full-title&gt;&lt;/periodical&gt;&lt;pages&gt;1-5&lt;/pages&gt;&lt;volume&gt;8&lt;/volume&gt;&lt;number&gt;804&lt;/number&gt;&lt;dates&gt;&lt;year&gt;2008&lt;/year&gt;&lt;/dates&gt;&lt;urls&gt;&lt;/urls&gt;&lt;/record&gt;&lt;/Cite&gt;&lt;Cite&gt;&lt;Author&gt;Wilson&lt;/Author&gt;&lt;Year&gt;2015&lt;/Year&gt;&lt;RecNum&gt;45&lt;/RecNum&gt;&lt;record&gt;&lt;rec-number&gt;45&lt;/rec-number&gt;&lt;foreign-keys&gt;&lt;key app="EN" db-id="2vrexwtw629f23erx0lpptwy909fxvaarxpd" timestamp="1565251535"&gt;45&lt;/key&gt;&lt;/foreign-keys&gt;&lt;ref-type name="Journal Article"&gt;17&lt;/ref-type&gt;&lt;contributors&gt;&lt;authors&gt;&lt;author&gt;Wilson, Rhonda L&lt;/author&gt;&lt;author&gt;Wilson, G Glenn&lt;/author&gt;&lt;author&gt;Usher, Kim&lt;/author&gt;&lt;/authors&gt;&lt;/contributors&gt;&lt;titles&gt;&lt;title&gt;Rural mental health ecology: a framework for engaging with mental health social capital in rural communities&lt;/title&gt;&lt;secondary-title&gt;EcoHealth&lt;/secondary-title&gt;&lt;/titles&gt;&lt;periodical&gt;&lt;full-title&gt;EcoHealth&lt;/full-title&gt;&lt;/periodical&gt;&lt;pages&gt;412-420&lt;/pages&gt;&lt;volume&gt;12&lt;/volume&gt;&lt;number&gt;3&lt;/number&gt;&lt;dates&gt;&lt;year&gt;2015&lt;/year&gt;&lt;/dates&gt;&lt;isbn&gt;1612-9202&lt;/isbn&gt;&lt;urls&gt;&lt;/urls&gt;&lt;/record&gt;&lt;/Cite&gt;&lt;/EndNote&gt;</w:instrText>
      </w:r>
      <w:r w:rsidR="001C284F">
        <w:fldChar w:fldCharType="separate"/>
      </w:r>
      <w:r w:rsidR="002C33ED">
        <w:rPr>
          <w:noProof/>
        </w:rPr>
        <w:t>(Boyd &amp; Parr, 2008; Wilson et al., 2015)</w:t>
      </w:r>
      <w:r w:rsidR="001C284F">
        <w:fldChar w:fldCharType="end"/>
      </w:r>
      <w:r w:rsidR="00A94446">
        <w:t xml:space="preserve">. </w:t>
      </w:r>
      <w:r w:rsidR="00ED5319">
        <w:t>Further</w:t>
      </w:r>
      <w:r w:rsidR="00D31DF8">
        <w:t>more</w:t>
      </w:r>
      <w:r w:rsidR="00ED5319">
        <w:t xml:space="preserve">, </w:t>
      </w:r>
      <w:r w:rsidR="00AC56A0">
        <w:t>pathways to train the current and future workforce in understanding rural and remote needs are</w:t>
      </w:r>
      <w:r w:rsidR="00ED5319">
        <w:t xml:space="preserve"> also warranted</w:t>
      </w:r>
      <w:r w:rsidR="00AC56A0">
        <w:t xml:space="preserve">. Approaches including task shifting (shifting tasks from more to less highly trained individuals) and recognising ‘rural </w:t>
      </w:r>
      <w:proofErr w:type="spellStart"/>
      <w:r w:rsidR="00AC56A0">
        <w:t>generalism</w:t>
      </w:r>
      <w:proofErr w:type="spellEnd"/>
      <w:r w:rsidR="00AC56A0">
        <w:t>’ as a medical speciality may offer more scope in the provision of services to communities in need</w:t>
      </w:r>
      <w:r w:rsidR="00A573C1">
        <w:t xml:space="preserve"> </w:t>
      </w:r>
      <w:r w:rsidR="00503A0F">
        <w:fldChar w:fldCharType="begin"/>
      </w:r>
      <w:r w:rsidR="0074451B">
        <w:instrText xml:space="preserve"> ADDIN EN.CITE &lt;EndNote&gt;&lt;Cite&gt;&lt;Author&gt;Hoeft&lt;/Author&gt;&lt;Year&gt;2018&lt;/Year&gt;&lt;RecNum&gt;47&lt;/RecNum&gt;&lt;DisplayText&gt;(Hoeft, Fortney, Patel, &amp;amp; Unützer, 2018; Shorthouse &amp;amp; Stone, 2018)&lt;/DisplayText&gt;&lt;record&gt;&lt;rec-number&gt;47&lt;/rec-number&gt;&lt;foreign-keys&gt;&lt;key app="EN" db-id="rvp0dvwpadt0d3exvpn5rrfq5sdt0aawe595" timestamp="1560904473"&gt;47&lt;/key&gt;&lt;/foreign-keys&gt;&lt;ref-type name="Journal Article"&gt;17&lt;/ref-type&gt;&lt;contributors&gt;&lt;authors&gt;&lt;author&gt;Hoeft, Theresa J&lt;/author&gt;&lt;author&gt;Fortney, John C&lt;/author&gt;&lt;author&gt;Patel, Vikram&lt;/author&gt;&lt;author&gt;Unützer, Jürgen %J The Journal of rural health&lt;/author&gt;&lt;/authors&gt;&lt;/contributors&gt;&lt;titles&gt;&lt;title&gt;Task‐sharing approaches to improve mental health care in rural and other low‐resource settings: a systematic review&lt;/title&gt;&lt;/titles&gt;&lt;pages&gt;48-62&lt;/pages&gt;&lt;volume&gt;34&lt;/volume&gt;&lt;number&gt;1&lt;/number&gt;&lt;dates&gt;&lt;year&gt;2018&lt;/year&gt;&lt;/dates&gt;&lt;isbn&gt;0890-765X&lt;/isbn&gt;&lt;urls&gt;&lt;/urls&gt;&lt;/record&gt;&lt;/Cite&gt;&lt;Cite&gt;&lt;Author&gt;Shorthouse&lt;/Author&gt;&lt;Year&gt;2018&lt;/Year&gt;&lt;RecNum&gt;6&lt;/RecNum&gt;&lt;record&gt;&lt;rec-number&gt;6&lt;/rec-number&gt;&lt;foreign-keys&gt;&lt;key app="EN" db-id="rvp0dvwpadt0d3exvpn5rrfq5sdt0aawe595" timestamp="1560904466"&gt;6&lt;/key&gt;&lt;/foreign-keys&gt;&lt;ref-type name="Journal Article"&gt;17&lt;/ref-type&gt;&lt;contributors&gt;&lt;authors&gt;&lt;author&gt;Shorthouse, Molly&lt;/author&gt;&lt;author&gt;Stone, Louise&lt;/author&gt;&lt;/authors&gt;&lt;/contributors&gt;&lt;titles&gt;&lt;title&gt;Inequity amplified: climate change, the Australian farmer, and mental health&lt;/title&gt;&lt;secondary-title&gt;The Medical Journal of Australia&lt;/secondary-title&gt;&lt;/titles&gt;&lt;periodical&gt;&lt;full-title&gt;The Medical Journal of Australia&lt;/full-title&gt;&lt;/periodical&gt;&lt;pages&gt;156-157&lt;/pages&gt;&lt;volume&gt;209&lt;/volume&gt;&lt;number&gt;4&lt;/number&gt;&lt;dates&gt;&lt;year&gt;2018&lt;/year&gt;&lt;/dates&gt;&lt;urls&gt;&lt;/urls&gt;&lt;/record&gt;&lt;/Cite&gt;&lt;/EndNote&gt;</w:instrText>
      </w:r>
      <w:r w:rsidR="00503A0F">
        <w:fldChar w:fldCharType="separate"/>
      </w:r>
      <w:r w:rsidR="002C33ED">
        <w:rPr>
          <w:noProof/>
        </w:rPr>
        <w:t>(Hoeft, Fortney, Patel, &amp; Unützer, 2018; Shorthouse &amp; Stone, 2018)</w:t>
      </w:r>
      <w:r w:rsidR="00503A0F">
        <w:fldChar w:fldCharType="end"/>
      </w:r>
      <w:r w:rsidR="00A573C1">
        <w:t xml:space="preserve">. </w:t>
      </w:r>
    </w:p>
    <w:p w14:paraId="1FA681D4" w14:textId="77777777" w:rsidR="00441356" w:rsidRDefault="00441356" w:rsidP="00325C13">
      <w:pPr>
        <w:spacing w:line="480" w:lineRule="auto"/>
      </w:pPr>
    </w:p>
    <w:p w14:paraId="51CF5724" w14:textId="3766C9C4" w:rsidR="00F24570" w:rsidRDefault="00F24570" w:rsidP="00566BB4">
      <w:pPr>
        <w:spacing w:line="480" w:lineRule="auto"/>
      </w:pPr>
      <w:r>
        <w:lastRenderedPageBreak/>
        <w:t xml:space="preserve">There were several limitations of the study. Firstly, cross-sectional data were used, so it is not possible to infer causation. This limitation also means that the analyses may have excluded individuals who were in treatment but no longer met criteria for a mental disorder or suicidal ideation. Secondly, to ascertain the sample for analysis, assessment of clinical caseness was based on a </w:t>
      </w:r>
      <w:r w:rsidR="00566BB4">
        <w:t xml:space="preserve">comprehensive </w:t>
      </w:r>
      <w:r>
        <w:t xml:space="preserve">self-report diagnostic checklist, which may differ from clinician diagnosis. </w:t>
      </w:r>
      <w:r w:rsidR="003302E7">
        <w:t xml:space="preserve">While the checklist </w:t>
      </w:r>
      <w:r w:rsidR="0070799D">
        <w:t xml:space="preserve">covers all symptoms included in DSM-5 and </w:t>
      </w:r>
      <w:r w:rsidR="003302E7">
        <w:t xml:space="preserve">aligns well with other mental health assessment tools, it </w:t>
      </w:r>
      <w:r w:rsidR="0070799D">
        <w:t xml:space="preserve">has not been validated against clinician diagnosis, so it </w:t>
      </w:r>
      <w:r w:rsidR="003302E7">
        <w:t xml:space="preserve">is possible that individuals may have been excluded from the </w:t>
      </w:r>
      <w:r w:rsidR="0070799D">
        <w:t xml:space="preserve">present </w:t>
      </w:r>
      <w:r w:rsidR="003302E7">
        <w:t>analyses despite having a clinical diagnosis</w:t>
      </w:r>
      <w:r w:rsidR="0070799D">
        <w:t xml:space="preserve">, or included despite the absence of diagnosis. Our measure of location </w:t>
      </w:r>
      <w:r w:rsidR="006F272E">
        <w:t xml:space="preserve">category </w:t>
      </w:r>
      <w:r w:rsidR="0070799D">
        <w:t xml:space="preserve">was based on self-report, </w:t>
      </w:r>
      <w:r w:rsidR="006F272E">
        <w:t xml:space="preserve">reflecting perceptions of rurality that </w:t>
      </w:r>
      <w:r w:rsidR="0070799D">
        <w:t xml:space="preserve">may be inconsistent </w:t>
      </w:r>
      <w:r w:rsidR="006F272E">
        <w:t xml:space="preserve">with formal definitions of rurality </w:t>
      </w:r>
      <w:r w:rsidR="006F272E">
        <w:fldChar w:fldCharType="begin"/>
      </w:r>
      <w:r w:rsidR="006F272E">
        <w:instrText xml:space="preserve"> ADDIN EN.CITE &lt;EndNote&gt;&lt;Cite&gt;&lt;Author&gt;Ricketts&lt;/Author&gt;&lt;Year&gt;1997&lt;/Year&gt;&lt;RecNum&gt;66&lt;/RecNum&gt;&lt;DisplayText&gt;(Ricketts &amp;amp; Johnson-Webb, 1997)&lt;/DisplayText&gt;&lt;record&gt;&lt;rec-number&gt;66&lt;/rec-number&gt;&lt;foreign-keys&gt;&lt;key app="EN" db-id="rvp0dvwpadt0d3exvpn5rrfq5sdt0aawe595" timestamp="1571371876"&gt;66&lt;/key&gt;&lt;/foreign-keys&gt;&lt;ref-type name="Report"&gt;27&lt;/ref-type&gt;&lt;contributors&gt;&lt;authors&gt;&lt;author&gt;Ricketts, T. C.&lt;/author&gt;&lt;author&gt;Johnson-Webb, K. D.&lt;/author&gt;&lt;/authors&gt;&lt;secondary-authors&gt;&lt;author&gt;North Carolina Rural Health Research and Policy Analysis Center&lt;/author&gt;&lt;/secondary-authors&gt;&lt;/contributors&gt;&lt;titles&gt;&lt;title&gt;What is&amp;quot; rural&amp;quot; and how to measure&amp;quot; rurality&amp;quot;: a focus on health care delivery and health policy&lt;/title&gt;&lt;/titles&gt;&lt;dates&gt;&lt;year&gt;1997&lt;/year&gt;&lt;/dates&gt;&lt;pub-location&gt;Chapel Hill, NC&lt;/pub-location&gt;&lt;urls&gt;&lt;/urls&gt;&lt;/record&gt;&lt;/Cite&gt;&lt;/EndNote&gt;</w:instrText>
      </w:r>
      <w:r w:rsidR="006F272E">
        <w:fldChar w:fldCharType="separate"/>
      </w:r>
      <w:r w:rsidR="006F272E">
        <w:rPr>
          <w:noProof/>
        </w:rPr>
        <w:t>(Ricketts &amp; Johnson-Webb, 1997)</w:t>
      </w:r>
      <w:r w:rsidR="006F272E">
        <w:fldChar w:fldCharType="end"/>
      </w:r>
      <w:r w:rsidR="006F272E">
        <w:t>.</w:t>
      </w:r>
      <w:r w:rsidR="0070799D">
        <w:t xml:space="preserve"> </w:t>
      </w:r>
      <w:r>
        <w:t xml:space="preserve">Use of services was also collected using self-report data, which may be open to </w:t>
      </w:r>
      <w:r w:rsidR="00566BB4">
        <w:t>reporting biases</w:t>
      </w:r>
      <w:r>
        <w:t>. Access to administrative data to verify reports of service use was not feasible in the context of the current study, although administrative data sets do not always provide information about the reason for the use of a service and may not cover all the professions of interest. Thirdly, we did not have data on specific reasons for seeking help (only that it was a mental health or emotional problem), nor on the quality or accessibility of the care received. It may be the case that people in rural areas received different quality of service due to more limited options, and the distance required to travel to receive services may have subsidiary negative impacts.</w:t>
      </w:r>
      <w:r w:rsidR="00A025FA">
        <w:t xml:space="preserve"> Similarly, we did not collect data on other forms of stigma (e.g., depression stigma, help-seeking stigma), or broader attitudes towards confidentiality of services. Further exploration of other factors implicated in service use is also warranted, including the roles of perceived need, self-reliance, stoicism </w:t>
      </w:r>
      <w:r w:rsidR="00A025FA">
        <w:fldChar w:fldCharType="begin">
          <w:fldData xml:space="preserve">PEVuZE5vdGU+PENpdGU+PEF1dGhvcj5IYW48L0F1dGhvcj48WWVhcj4yMDE4PC9ZZWFyPjxSZWNO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</w:fldData>
        </w:fldChar>
      </w:r>
      <w:r w:rsidR="00DA523B">
        <w:instrText xml:space="preserve"> ADDIN EN.CITE </w:instrText>
      </w:r>
      <w:r w:rsidR="00DA523B">
        <w:fldChar w:fldCharType="begin">
          <w:fldData xml:space="preserve">PEVuZE5vdGU+PENpdGU+PEF1dGhvcj5IYW48L0F1dGhvcj48WWVhcj4yMDE4PC9ZZWFyPjxSZWNO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</w:fldData>
        </w:fldChar>
      </w:r>
      <w:r w:rsidR="00DA523B">
        <w:instrText xml:space="preserve"> ADDIN EN.CITE.DATA </w:instrText>
      </w:r>
      <w:r w:rsidR="00DA523B">
        <w:fldChar w:fldCharType="end"/>
      </w:r>
      <w:r w:rsidR="00A025FA">
        <w:fldChar w:fldCharType="separate"/>
      </w:r>
      <w:r w:rsidR="00DA523B">
        <w:rPr>
          <w:noProof/>
        </w:rPr>
        <w:t>(Cheesmond et al., 2019; Han et al., 2018; Knight &amp; Winterbotham, 2019)</w:t>
      </w:r>
      <w:r w:rsidR="00A025FA">
        <w:fldChar w:fldCharType="end"/>
      </w:r>
      <w:r w:rsidR="00A025FA">
        <w:t xml:space="preserve">, and conformity to gender norms </w:t>
      </w:r>
      <w:r w:rsidR="00A025FA">
        <w:fldChar w:fldCharType="begin"/>
      </w:r>
      <w:r w:rsidR="0074451B">
        <w:instrText xml:space="preserve"> ADDIN EN.CITE &lt;EndNote&gt;&lt;Cite&gt;&lt;Author&gt;Kennedy&lt;/Author&gt;&lt;Year&gt;2018&lt;/Year&gt;&lt;RecNum&gt;13&lt;/RecNum&gt;&lt;DisplayText&gt;(Kennedy et al., 2018)&lt;/DisplayText&gt;&lt;record&gt;&lt;rec-number&gt;13&lt;/rec-number&gt;&lt;foreign-keys&gt;&lt;key app="EN" db-id="rvp0dvwpadt0d3exvpn5rrfq5sdt0aawe595" timestamp="1560904467"&gt;13&lt;/key&gt;&lt;/foreign-keys&gt;&lt;ref-type name="Journal Article"&gt;17&lt;/ref-type&gt;&lt;contributors&gt;&lt;authors&gt;&lt;author&gt;Kennedy, Alison J&lt;/author&gt;&lt;author&gt;Brumby, Susan A&lt;/author&gt;&lt;author&gt;Versace, Vincent Lawrence&lt;/author&gt;&lt;author&gt;Brumby-Rendell, Tristan&lt;/author&gt;&lt;/authors&gt;&lt;/contributors&gt;&lt;titles&gt;&lt;title&gt;Online assessment of suicide stigma, literacy and effect in Australia’s rural farming community&lt;/title&gt;&lt;secondary-title&gt;BMC public health&lt;/secondary-title&gt;&lt;/titles&gt;&lt;periodical&gt;&lt;full-title&gt;BMC public health&lt;/full-title&gt;&lt;/periodical&gt;&lt;pages&gt;846&lt;/pages&gt;&lt;volume&gt;18&lt;/volume&gt;&lt;number&gt;1&lt;/number&gt;&lt;dates&gt;&lt;year&gt;2018&lt;/year&gt;&lt;/dates&gt;&lt;isbn&gt;1471-2458&lt;/isbn&gt;&lt;urls&gt;&lt;/urls&gt;&lt;/record&gt;&lt;/Cite&gt;&lt;/EndNote&gt;</w:instrText>
      </w:r>
      <w:r w:rsidR="00A025FA">
        <w:fldChar w:fldCharType="separate"/>
      </w:r>
      <w:r w:rsidR="00985051">
        <w:rPr>
          <w:noProof/>
        </w:rPr>
        <w:t>(Kennedy et al., 2018)</w:t>
      </w:r>
      <w:r w:rsidR="00A025FA">
        <w:fldChar w:fldCharType="end"/>
      </w:r>
      <w:r w:rsidR="00A025FA">
        <w:t xml:space="preserve">. </w:t>
      </w:r>
    </w:p>
    <w:p w14:paraId="1A4ED19A" w14:textId="77777777" w:rsidR="00F24570" w:rsidRDefault="00F24570" w:rsidP="00325C13">
      <w:pPr>
        <w:spacing w:line="480" w:lineRule="auto"/>
      </w:pPr>
    </w:p>
    <w:p w14:paraId="5CCBCC66" w14:textId="6D670DE7" w:rsidR="00ED001D" w:rsidRDefault="00A025FA" w:rsidP="00566BB4">
      <w:pPr>
        <w:spacing w:line="480" w:lineRule="auto"/>
      </w:pPr>
      <w:r>
        <w:lastRenderedPageBreak/>
        <w:t>In addition to exploring other factors associated with service use in rural areas, f</w:t>
      </w:r>
      <w:r w:rsidR="006C3CEA">
        <w:t xml:space="preserve">uture research </w:t>
      </w:r>
      <w:r w:rsidR="00ED001D">
        <w:t>also</w:t>
      </w:r>
      <w:r w:rsidR="006C3CEA">
        <w:t xml:space="preserve"> needs to</w:t>
      </w:r>
      <w:r w:rsidR="00ED001D">
        <w:t xml:space="preserve"> </w:t>
      </w:r>
      <w:r w:rsidR="00D31DF8">
        <w:t xml:space="preserve">consider the specific </w:t>
      </w:r>
      <w:r w:rsidR="00ED001D">
        <w:t xml:space="preserve">needs of the Aboriginal community. Currently there exists a paucity of research describing the trajectory of Aboriginal people through the mental health care system </w:t>
      </w:r>
      <w:r w:rsidR="00503A0F">
        <w:fldChar w:fldCharType="begin"/>
      </w:r>
      <w:r w:rsidR="002C33ED">
        <w:instrText xml:space="preserve"> ADDIN EN.CITE &lt;EndNote&gt;&lt;Cite&gt;&lt;Author&gt;Kilian&lt;/Author&gt;&lt;Year&gt;2018&lt;/Year&gt;&lt;RecNum&gt;50&lt;/RecNum&gt;&lt;DisplayText&gt;(Kilian &amp;amp; Williamson, 2018)&lt;/DisplayText&gt;&lt;record&gt;&lt;rec-number&gt;50&lt;/rec-number&gt;&lt;foreign-keys&gt;&lt;key app="EN" db-id="2vrexwtw629f23erx0lpptwy909fxvaarxpd" timestamp="1565251536"&gt;50&lt;/key&gt;&lt;/foreign-keys&gt;&lt;ref-type name="Journal Article"&gt;17&lt;/ref-type&gt;&lt;contributors&gt;&lt;authors&gt;&lt;author&gt;Kilian, Alexandra&lt;/author&gt;&lt;author&gt;Williamson, Anna&lt;/author&gt;&lt;/authors&gt;&lt;/contributors&gt;&lt;titles&gt;&lt;title&gt;What is known about pathways to mental health care for Australian Aboriginal young people?: a narrative review&lt;/title&gt;&lt;secondary-title&gt;International journal for equity in health&lt;/secondary-title&gt;&lt;/titles&gt;&lt;periodical&gt;&lt;full-title&gt;International journal for equity in health&lt;/full-title&gt;&lt;/periodical&gt;&lt;pages&gt;12&lt;/pages&gt;&lt;volume&gt;17&lt;/volume&gt;&lt;number&gt;1&lt;/number&gt;&lt;dates&gt;&lt;year&gt;2018&lt;/year&gt;&lt;/dates&gt;&lt;isbn&gt;1475-9276&lt;/isbn&gt;&lt;urls&gt;&lt;/urls&gt;&lt;/record&gt;&lt;/Cite&gt;&lt;/EndNote&gt;</w:instrText>
      </w:r>
      <w:r w:rsidR="00503A0F">
        <w:fldChar w:fldCharType="separate"/>
      </w:r>
      <w:r w:rsidR="002C33ED">
        <w:rPr>
          <w:noProof/>
        </w:rPr>
        <w:t>(Kilian &amp; Williamson, 2018)</w:t>
      </w:r>
      <w:r w:rsidR="00503A0F">
        <w:fldChar w:fldCharType="end"/>
      </w:r>
      <w:r w:rsidR="00ED001D">
        <w:t xml:space="preserve">. Complex socio-cultural factors and culturally appropriate mental health treatment objectives need to be recognised and integrated into a more inclusive </w:t>
      </w:r>
      <w:r w:rsidR="005D7857">
        <w:t xml:space="preserve">model. Access to online and telephone methods of support for mental health issues continues to be an evolving area in line with technological advances and </w:t>
      </w:r>
      <w:r w:rsidR="00DE11B5">
        <w:t xml:space="preserve">growing </w:t>
      </w:r>
      <w:r w:rsidR="005D7857">
        <w:t xml:space="preserve">understanding of how to target social isolation and stigma experienced by people with mental health issues in rural and remote communities </w:t>
      </w:r>
      <w:r w:rsidR="00503A0F">
        <w:fldChar w:fldCharType="begin"/>
      </w:r>
      <w:r w:rsidR="0074451B">
        <w:instrText xml:space="preserve"> ADDIN EN.CITE &lt;EndNote&gt;&lt;Cite&gt;&lt;Author&gt;Smith-Merry&lt;/Author&gt;&lt;Year&gt;2019&lt;/Year&gt;&lt;RecNum&gt;49&lt;/RecNum&gt;&lt;DisplayText&gt;(Smith-Merry et al., 2019)&lt;/DisplayText&gt;&lt;record&gt;&lt;rec-number&gt;49&lt;/rec-number&gt;&lt;foreign-keys&gt;&lt;key app="EN" db-id="rvp0dvwpadt0d3exvpn5rrfq5sdt0aawe595" timestamp="1560904473"&gt;49&lt;/key&gt;&lt;/foreign-keys&gt;&lt;ref-type name="Journal Article"&gt;17&lt;/ref-type&gt;&lt;contributors&gt;&lt;authors&gt;&lt;author&gt;Smith-Merry, Jennifer&lt;/author&gt;&lt;author&gt;Goggin, Gerard&lt;/author&gt;&lt;author&gt;Campbell, Andrew&lt;/author&gt;&lt;author&gt;McKenzie, Kirsty&lt;/author&gt;&lt;author&gt;Ridout, Brad&lt;/author&gt;&lt;author&gt;Baylosis, Cherry&lt;/author&gt;&lt;/authors&gt;&lt;/contributors&gt;&lt;titles&gt;&lt;title&gt;Social Connection and Online Engagement: Insights From Interviews With Users of a Mental Health Online Forum&lt;/title&gt;&lt;secondary-title&gt;JMIR mental health&lt;/secondary-title&gt;&lt;/titles&gt;&lt;periodical&gt;&lt;full-title&gt;JMIR mental health&lt;/full-title&gt;&lt;/periodical&gt;&lt;pages&gt;e11084&lt;/pages&gt;&lt;volume&gt;6&lt;/volume&gt;&lt;number&gt;3&lt;/number&gt;&lt;dates&gt;&lt;year&gt;2019&lt;/year&gt;&lt;/dates&gt;&lt;urls&gt;&lt;/urls&gt;&lt;/record&gt;&lt;/Cite&gt;&lt;/EndNote&gt;</w:instrText>
      </w:r>
      <w:r w:rsidR="00503A0F">
        <w:fldChar w:fldCharType="separate"/>
      </w:r>
      <w:r w:rsidR="00503A0F">
        <w:rPr>
          <w:noProof/>
        </w:rPr>
        <w:t>(Smith-Merry et al., 2019)</w:t>
      </w:r>
      <w:r w:rsidR="00503A0F">
        <w:fldChar w:fldCharType="end"/>
      </w:r>
      <w:r w:rsidR="005D7857">
        <w:t xml:space="preserve">. </w:t>
      </w:r>
      <w:r w:rsidR="00046997">
        <w:t>Specifically</w:t>
      </w:r>
      <w:r w:rsidR="00286932">
        <w:t>, evidence-based internet interventions to support communities that do not have access to psychological services could be further promoted</w:t>
      </w:r>
      <w:r w:rsidR="00046997">
        <w:t xml:space="preserve"> </w:t>
      </w:r>
      <w:r w:rsidR="00046997">
        <w:fldChar w:fldCharType="begin">
          <w:fldData xml:space="preserve">PEVuZE5vdGU+PENpdGU+PEF1dGhvcj5CYXR0ZXJoYW08L0F1dGhvcj48WWVhcj4yMDE1PC9ZZWFy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</w:fldData>
        </w:fldChar>
      </w:r>
      <w:r w:rsidR="0074451B">
        <w:instrText xml:space="preserve"> ADDIN EN.CITE </w:instrText>
      </w:r>
      <w:r w:rsidR="0074451B">
        <w:fldChar w:fldCharType="begin">
          <w:fldData xml:space="preserve">PEVuZE5vdGU+PENpdGU+PEF1dGhvcj5CYXR0ZXJoYW08L0F1dGhvcj48WWVhcj4yMDE1PC9ZZWFy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</w:fldData>
        </w:fldChar>
      </w:r>
      <w:r w:rsidR="0074451B">
        <w:instrText xml:space="preserve"> ADDIN EN.CITE.DATA </w:instrText>
      </w:r>
      <w:r w:rsidR="0074451B">
        <w:fldChar w:fldCharType="end"/>
      </w:r>
      <w:r w:rsidR="00046997">
        <w:fldChar w:fldCharType="separate"/>
      </w:r>
      <w:r w:rsidR="002C33ED">
        <w:rPr>
          <w:noProof/>
        </w:rPr>
        <w:t>(Batterham et al., 2015; Williams &amp; Andrews, 2013)</w:t>
      </w:r>
      <w:r w:rsidR="00046997">
        <w:fldChar w:fldCharType="end"/>
      </w:r>
      <w:r w:rsidR="007E656A">
        <w:t>, although the current research did not examine the use of internet therapy in rural areas</w:t>
      </w:r>
      <w:r w:rsidR="00286932">
        <w:t xml:space="preserve">. </w:t>
      </w:r>
      <w:r w:rsidR="00046997">
        <w:t>Filling the gap in rural services by increasing uptake of effective technological solutions may appeal to the self-reliance of many people in rural areas who experience mild-moderate symptoms of depression or anxiety.</w:t>
      </w:r>
    </w:p>
    <w:p w14:paraId="116D3B86" w14:textId="77777777" w:rsidR="00ED001D" w:rsidRDefault="00ED001D" w:rsidP="00325C13">
      <w:pPr>
        <w:spacing w:line="480" w:lineRule="auto"/>
      </w:pPr>
    </w:p>
    <w:p w14:paraId="04C744F4" w14:textId="5F8E3D92" w:rsidR="00FF4BF7" w:rsidRDefault="00D31DF8" w:rsidP="000C792B">
      <w:pPr>
        <w:spacing w:line="480" w:lineRule="auto"/>
        <w:rPr>
          <w:b/>
        </w:rPr>
      </w:pPr>
      <w:r w:rsidRPr="00D31DF8">
        <w:t>In conclusion, this study found little evidence of differences in help seeking in rural Austr</w:t>
      </w:r>
      <w:r>
        <w:t xml:space="preserve">alia compared to urban centres, with the important exception of psychological service use. The findings may reflect structural differences in access to care, differing attitudes </w:t>
      </w:r>
      <w:r w:rsidR="00A025FA">
        <w:t xml:space="preserve">and preferences </w:t>
      </w:r>
      <w:r>
        <w:t xml:space="preserve">about the roles of service providers, higher levels of self-reliance among people in rural areas, and different sociodemographic </w:t>
      </w:r>
      <w:r w:rsidR="00FF4BF7">
        <w:t>profiles</w:t>
      </w:r>
      <w:r w:rsidR="00286932">
        <w:t xml:space="preserve"> in rural versus urban areas. </w:t>
      </w:r>
      <w:r w:rsidR="00A025FA">
        <w:t>B</w:t>
      </w:r>
      <w:r w:rsidR="00A025FA" w:rsidRPr="00A025FA">
        <w:t xml:space="preserve">arriers to seeking care </w:t>
      </w:r>
      <w:r w:rsidR="00A025FA">
        <w:t xml:space="preserve">may not be </w:t>
      </w:r>
      <w:r w:rsidR="00A025FA" w:rsidRPr="00A025FA">
        <w:t xml:space="preserve">uniform </w:t>
      </w:r>
      <w:r w:rsidR="00A025FA">
        <w:t>across geographical areas</w:t>
      </w:r>
      <w:r w:rsidR="00A025FA" w:rsidRPr="00A025FA">
        <w:t xml:space="preserve">, </w:t>
      </w:r>
      <w:r w:rsidR="00A025FA">
        <w:t xml:space="preserve">although there may </w:t>
      </w:r>
      <w:r w:rsidR="00A60F38">
        <w:t xml:space="preserve">still </w:t>
      </w:r>
      <w:r w:rsidR="00A025FA">
        <w:t xml:space="preserve">be disparities in </w:t>
      </w:r>
      <w:r w:rsidR="00A025FA" w:rsidRPr="00A025FA">
        <w:t xml:space="preserve">quality </w:t>
      </w:r>
      <w:r w:rsidR="00A025FA">
        <w:t>and accessibility of care</w:t>
      </w:r>
      <w:r w:rsidR="00A025FA" w:rsidRPr="00A025FA">
        <w:t xml:space="preserve">. </w:t>
      </w:r>
      <w:r w:rsidR="00286932">
        <w:t xml:space="preserve">Further consideration of how to </w:t>
      </w:r>
      <w:r w:rsidR="00A025FA">
        <w:t xml:space="preserve">optimally </w:t>
      </w:r>
      <w:r w:rsidR="00286932">
        <w:t xml:space="preserve">integrate </w:t>
      </w:r>
      <w:r w:rsidR="00A025FA">
        <w:t>mental health services and supports</w:t>
      </w:r>
      <w:r w:rsidR="00286932">
        <w:t xml:space="preserve"> into rural communities is warranted.</w:t>
      </w:r>
      <w:r w:rsidR="00A025FA">
        <w:t xml:space="preserve"> A comprehensive needs assessment, informed by the experiences and preferences of people </w:t>
      </w:r>
      <w:r w:rsidR="00A025FA">
        <w:lastRenderedPageBreak/>
        <w:t>rural communities would be a useful next step to improving mental health outcomes in rural areas.</w:t>
      </w:r>
      <w:r w:rsidR="00FF4BF7">
        <w:rPr>
          <w:b/>
        </w:rPr>
        <w:br w:type="page"/>
      </w:r>
    </w:p>
    <w:p w14:paraId="6BACEF0C" w14:textId="77777777" w:rsidR="004A5569" w:rsidRPr="00566BB4" w:rsidRDefault="001C284F" w:rsidP="00566BB4">
      <w:pPr>
        <w:rPr>
          <w:b/>
        </w:rPr>
      </w:pPr>
      <w:r w:rsidRPr="00566BB4">
        <w:rPr>
          <w:b/>
        </w:rPr>
        <w:lastRenderedPageBreak/>
        <w:t>References</w:t>
      </w:r>
    </w:p>
    <w:p w14:paraId="645B9838" w14:textId="77777777" w:rsidR="004A5569" w:rsidRDefault="004A5569"/>
    <w:p w14:paraId="28EB75BC" w14:textId="77777777" w:rsidR="00FF6B9D" w:rsidRDefault="00FF6B9D"/>
    <w:p w14:paraId="4F810D85" w14:textId="77777777" w:rsidR="00A3751E" w:rsidRPr="00A3751E" w:rsidRDefault="004A5569" w:rsidP="00A3751E">
      <w:pPr>
        <w:pStyle w:val="EndNoteBibliography"/>
        <w:ind w:left="720" w:hanging="720"/>
      </w:pPr>
      <w:r>
        <w:fldChar w:fldCharType="begin"/>
      </w:r>
      <w:r>
        <w:instrText xml:space="preserve"> ADDIN EN.REFLIST </w:instrText>
      </w:r>
      <w:r>
        <w:fldChar w:fldCharType="separate"/>
      </w:r>
      <w:r w:rsidR="00A3751E" w:rsidRPr="00A3751E">
        <w:t xml:space="preserve">Aisbett, D., Boyd, C., Francis, K. J., Newnham, K., &amp; Newnham, K. (2007). Understanding barriers to mental health service utilization for adolescents in rural Australia. </w:t>
      </w:r>
      <w:r w:rsidR="00A3751E" w:rsidRPr="00A3751E">
        <w:rPr>
          <w:i/>
        </w:rPr>
        <w:t>Rural and remote health, 7</w:t>
      </w:r>
      <w:r w:rsidR="00A3751E" w:rsidRPr="00A3751E">
        <w:t xml:space="preserve">(624), 1-10. </w:t>
      </w:r>
    </w:p>
    <w:p w14:paraId="74D8AA9D" w14:textId="77777777" w:rsidR="00A3751E" w:rsidRPr="00A3751E" w:rsidRDefault="00A3751E" w:rsidP="00A3751E">
      <w:pPr>
        <w:pStyle w:val="EndNoteBibliography"/>
        <w:ind w:left="720" w:hanging="720"/>
      </w:pPr>
      <w:r w:rsidRPr="00A3751E">
        <w:t xml:space="preserve">Australian Bureau of Statistics. (2019). </w:t>
      </w:r>
      <w:r w:rsidRPr="00A3751E">
        <w:rPr>
          <w:i/>
        </w:rPr>
        <w:t>3218.0  Regional Population Growth, Australia</w:t>
      </w:r>
      <w:r w:rsidRPr="00A3751E">
        <w:t xml:space="preserve">. Retrieved from Canberra: </w:t>
      </w:r>
    </w:p>
    <w:p w14:paraId="138F2C3A" w14:textId="77777777" w:rsidR="00A3751E" w:rsidRPr="00A3751E" w:rsidRDefault="00A3751E" w:rsidP="00A3751E">
      <w:pPr>
        <w:pStyle w:val="EndNoteBibliography"/>
        <w:ind w:left="720" w:hanging="720"/>
      </w:pPr>
      <w:r w:rsidRPr="00A3751E">
        <w:t xml:space="preserve">Batterham, P. J., Calear, A. L., &amp; Christensen, H. (2013). The Stigma of Suicide Scale. Psychometric properties and correlates of the stigma of suicide. </w:t>
      </w:r>
      <w:r w:rsidRPr="00A3751E">
        <w:rPr>
          <w:i/>
        </w:rPr>
        <w:t>Crisis, 34</w:t>
      </w:r>
      <w:r w:rsidRPr="00A3751E">
        <w:t>(1), 13-21. doi:10.1027/0227-5910/a000156</w:t>
      </w:r>
    </w:p>
    <w:p w14:paraId="0365185C" w14:textId="77777777" w:rsidR="00A3751E" w:rsidRPr="00A3751E" w:rsidRDefault="00A3751E" w:rsidP="00A3751E">
      <w:pPr>
        <w:pStyle w:val="EndNoteBibliography"/>
        <w:ind w:left="720" w:hanging="720"/>
      </w:pPr>
      <w:r w:rsidRPr="00A3751E">
        <w:t xml:space="preserve">Batterham, P. J., Calear, A. L., Christensen, H., Carragher, N., &amp; Sunderland, M. (2018a). Independent Effects of Mental Disorders on Suicidal Behavior in the Community. </w:t>
      </w:r>
      <w:r w:rsidRPr="00A3751E">
        <w:rPr>
          <w:i/>
        </w:rPr>
        <w:t>Suicide Life Threat Behav, 48</w:t>
      </w:r>
      <w:r w:rsidRPr="00A3751E">
        <w:t>(5), 512-521. doi:10.1111/sltb.12379</w:t>
      </w:r>
    </w:p>
    <w:p w14:paraId="5E2B8656" w14:textId="77777777" w:rsidR="00A3751E" w:rsidRPr="00A3751E" w:rsidRDefault="00A3751E" w:rsidP="00A3751E">
      <w:pPr>
        <w:pStyle w:val="EndNoteBibliography"/>
        <w:ind w:left="720" w:hanging="720"/>
      </w:pPr>
      <w:r w:rsidRPr="00A3751E">
        <w:t xml:space="preserve">Batterham, P. J., Sunderland, M., Calear, A. L., Davey, C. G., Christensen, H., Teesson, M., . . . Krouskos, D. (2015). Developing a roadmap for the translation of e-mental health services for depression. </w:t>
      </w:r>
      <w:r w:rsidRPr="00A3751E">
        <w:rPr>
          <w:i/>
        </w:rPr>
        <w:t>Aust N Z J Psychiatry, 49</w:t>
      </w:r>
      <w:r w:rsidRPr="00A3751E">
        <w:t>(9), 776-784. doi:10.1177/0004867415582054</w:t>
      </w:r>
    </w:p>
    <w:p w14:paraId="133D32B6" w14:textId="77777777" w:rsidR="00A3751E" w:rsidRPr="00A3751E" w:rsidRDefault="00A3751E" w:rsidP="00A3751E">
      <w:pPr>
        <w:pStyle w:val="EndNoteBibliography"/>
        <w:ind w:left="720" w:hanging="720"/>
      </w:pPr>
      <w:r w:rsidRPr="00A3751E">
        <w:t xml:space="preserve">Batterham, P. J., Sunderland, M., Carragher, N., Calear, A. L., Mackinnon, A. J., &amp; Slade, T. (2016). The Distress Questionnaire-5: Population screener for psychological distress was more accurate than the K6/K10. </w:t>
      </w:r>
      <w:r w:rsidRPr="00A3751E">
        <w:rPr>
          <w:i/>
        </w:rPr>
        <w:t>J Clin Epidemiol, 71</w:t>
      </w:r>
      <w:r w:rsidRPr="00A3751E">
        <w:t>, 35-42. doi:10.1016/j.jclinepi.2015.10.005</w:t>
      </w:r>
    </w:p>
    <w:p w14:paraId="3B33D0D0" w14:textId="77777777" w:rsidR="00A3751E" w:rsidRPr="00A3751E" w:rsidRDefault="00A3751E" w:rsidP="00A3751E">
      <w:pPr>
        <w:pStyle w:val="EndNoteBibliography"/>
        <w:ind w:left="720" w:hanging="720"/>
      </w:pPr>
      <w:r w:rsidRPr="00A3751E">
        <w:t xml:space="preserve">Batterham, P. J., Sunderland, M., Slade, T., Calear, A. L., &amp; Carragher, N. (2018b). Assessing distress in the community: psychometric properties and crosswalk comparison of eight measures of psychological distress. </w:t>
      </w:r>
      <w:r w:rsidRPr="00A3751E">
        <w:rPr>
          <w:i/>
        </w:rPr>
        <w:t>Psychol Med, 48</w:t>
      </w:r>
      <w:r w:rsidRPr="00A3751E">
        <w:t>(8), 1316-1324. doi:10.1017/S0033291717002835</w:t>
      </w:r>
    </w:p>
    <w:p w14:paraId="6E97E7C7" w14:textId="77777777" w:rsidR="00A3751E" w:rsidRPr="00A3751E" w:rsidRDefault="00A3751E" w:rsidP="00A3751E">
      <w:pPr>
        <w:pStyle w:val="EndNoteBibliography"/>
        <w:ind w:left="720" w:hanging="720"/>
      </w:pPr>
      <w:r w:rsidRPr="00A3751E">
        <w:lastRenderedPageBreak/>
        <w:t xml:space="preserve">Boyd, C., &amp; Parr, H. (2008). Social geography and rural mental health research. </w:t>
      </w:r>
      <w:r w:rsidRPr="00A3751E">
        <w:rPr>
          <w:i/>
        </w:rPr>
        <w:t>Rural and remote health, 8</w:t>
      </w:r>
      <w:r w:rsidRPr="00A3751E">
        <w:t xml:space="preserve">(804), 1-5. </w:t>
      </w:r>
    </w:p>
    <w:p w14:paraId="25E6946D" w14:textId="77777777" w:rsidR="00A3751E" w:rsidRPr="00A3751E" w:rsidRDefault="00A3751E" w:rsidP="00A3751E">
      <w:pPr>
        <w:pStyle w:val="EndNoteBibliography"/>
        <w:ind w:left="720" w:hanging="720"/>
      </w:pPr>
      <w:r w:rsidRPr="00A3751E">
        <w:t xml:space="preserve">Cheesmond, N. E., Davies, K., &amp; Inder, K. J. (2019). Exploring the role of rurality and rural identity in mental health help-seeking behavior: A systematic qualitative review. </w:t>
      </w:r>
      <w:r w:rsidRPr="00A3751E">
        <w:rPr>
          <w:i/>
        </w:rPr>
        <w:t>Journal of Rural Mental Health, 43</w:t>
      </w:r>
      <w:r w:rsidRPr="00A3751E">
        <w:t xml:space="preserve">(1), 45. </w:t>
      </w:r>
    </w:p>
    <w:p w14:paraId="3FBC569C" w14:textId="77777777" w:rsidR="00A3751E" w:rsidRPr="00A3751E" w:rsidRDefault="00A3751E" w:rsidP="00A3751E">
      <w:pPr>
        <w:pStyle w:val="EndNoteBibliography"/>
        <w:ind w:left="720" w:hanging="720"/>
      </w:pPr>
      <w:r w:rsidRPr="00A3751E">
        <w:t xml:space="preserve">Corboy, D., McLaren, S., &amp; McDonald, J. (2011). Predictors of support service use by rural and regional men with cancer. </w:t>
      </w:r>
      <w:r w:rsidRPr="00A3751E">
        <w:rPr>
          <w:i/>
        </w:rPr>
        <w:t>Australian Journal of Rural Health, 19</w:t>
      </w:r>
      <w:r w:rsidRPr="00A3751E">
        <w:t xml:space="preserve">(4), 185-190. </w:t>
      </w:r>
    </w:p>
    <w:p w14:paraId="157D0B35" w14:textId="77777777" w:rsidR="00A3751E" w:rsidRPr="00A3751E" w:rsidRDefault="00A3751E" w:rsidP="00A3751E">
      <w:pPr>
        <w:pStyle w:val="EndNoteBibliography"/>
        <w:ind w:left="720" w:hanging="720"/>
      </w:pPr>
      <w:r w:rsidRPr="00A3751E">
        <w:t xml:space="preserve">Davis, S., &amp; Bartlett, H. (2008). Healthy ageing in rural Australia: issues and challenges. </w:t>
      </w:r>
      <w:r w:rsidRPr="00A3751E">
        <w:rPr>
          <w:i/>
        </w:rPr>
        <w:t>Australas J Ageing, 27</w:t>
      </w:r>
      <w:r w:rsidRPr="00A3751E">
        <w:t>(2), 56-60. doi:10.1111/j.1741-6612.2008.00296.x</w:t>
      </w:r>
    </w:p>
    <w:p w14:paraId="15A69A95" w14:textId="77777777" w:rsidR="00A3751E" w:rsidRPr="00A3751E" w:rsidRDefault="00A3751E" w:rsidP="00A3751E">
      <w:pPr>
        <w:pStyle w:val="EndNoteBibliography"/>
        <w:ind w:left="720" w:hanging="720"/>
      </w:pPr>
      <w:r w:rsidRPr="00A3751E">
        <w:t xml:space="preserve">Fennell, K. M., Hull, M., Jones, M., &amp; Dollman, J. (2018). A comparison of barriers to accessing services for mental and physical health conditions in a sample of rural Australian adults. </w:t>
      </w:r>
      <w:r w:rsidRPr="00A3751E">
        <w:rPr>
          <w:i/>
        </w:rPr>
        <w:t>Rural Remote Health, 18</w:t>
      </w:r>
      <w:r w:rsidRPr="00A3751E">
        <w:t xml:space="preserve">(1), 4155. </w:t>
      </w:r>
    </w:p>
    <w:p w14:paraId="79A5F558" w14:textId="77777777" w:rsidR="00A3751E" w:rsidRPr="00A3751E" w:rsidRDefault="00A3751E" w:rsidP="00A3751E">
      <w:pPr>
        <w:pStyle w:val="EndNoteBibliography"/>
        <w:ind w:left="720" w:hanging="720"/>
      </w:pPr>
      <w:r w:rsidRPr="00A3751E">
        <w:t xml:space="preserve">Fitzpatrick, S. J., Perkins, D., Handley, T., Brown, D., Luland, T., &amp; Corvan, E. (2018). Coordinating Mental and Physical Health Care in Rural Australia: An Integrated Model for Primary Care Settings. </w:t>
      </w:r>
      <w:r w:rsidRPr="00A3751E">
        <w:rPr>
          <w:i/>
        </w:rPr>
        <w:t>International journal of integrated care, 18</w:t>
      </w:r>
      <w:r w:rsidRPr="00A3751E">
        <w:t xml:space="preserve">. </w:t>
      </w:r>
    </w:p>
    <w:p w14:paraId="2498D127" w14:textId="77777777" w:rsidR="00A3751E" w:rsidRPr="00A3751E" w:rsidRDefault="00A3751E" w:rsidP="00A3751E">
      <w:pPr>
        <w:pStyle w:val="EndNoteBibliography"/>
        <w:ind w:left="720" w:hanging="720"/>
      </w:pPr>
      <w:r w:rsidRPr="00A3751E">
        <w:t xml:space="preserve">Fitzpatrick, S. J., Perkins, D., Luland, T., Brown, D., &amp; Corvan, E. (2017). The effect of context in rural mental health care: Understanding integrated services in a small town. </w:t>
      </w:r>
      <w:r w:rsidRPr="00A3751E">
        <w:rPr>
          <w:i/>
        </w:rPr>
        <w:t>Health &amp; place, 45</w:t>
      </w:r>
      <w:r w:rsidRPr="00A3751E">
        <w:t xml:space="preserve">, 70-76. </w:t>
      </w:r>
    </w:p>
    <w:p w14:paraId="4F723223" w14:textId="77777777" w:rsidR="00A3751E" w:rsidRPr="00A3751E" w:rsidRDefault="00A3751E" w:rsidP="00A3751E">
      <w:pPr>
        <w:pStyle w:val="EndNoteBibliography"/>
        <w:ind w:left="720" w:hanging="720"/>
      </w:pPr>
      <w:r w:rsidRPr="00A3751E">
        <w:t xml:space="preserve">Forbes, M., Crome, E., Sunderland, M., &amp; Wuthrich, V. (2017). Perceived needs for mental health care and barriers to treatment across age groups. </w:t>
      </w:r>
      <w:r w:rsidRPr="00A3751E">
        <w:rPr>
          <w:i/>
        </w:rPr>
        <w:t>Aging &amp; mental health, 21</w:t>
      </w:r>
      <w:r w:rsidRPr="00A3751E">
        <w:t xml:space="preserve">(10), 1072-1078. </w:t>
      </w:r>
    </w:p>
    <w:p w14:paraId="6A0C7CD4" w14:textId="77777777" w:rsidR="00A3751E" w:rsidRPr="00A3751E" w:rsidRDefault="00A3751E" w:rsidP="00A3751E">
      <w:pPr>
        <w:pStyle w:val="EndNoteBibliography"/>
        <w:ind w:left="720" w:hanging="720"/>
      </w:pPr>
      <w:r w:rsidRPr="00A3751E">
        <w:t xml:space="preserve">Green, A. C., Hunt, C., &amp; Stain, H. J. (2012). The delay between symptom onset and seeking professional treatment for anxiety and depressive disorders in a rural Australian sample. </w:t>
      </w:r>
      <w:r w:rsidRPr="00A3751E">
        <w:rPr>
          <w:i/>
        </w:rPr>
        <w:t>Social psychiatry and psychiatric epidemiology, 47</w:t>
      </w:r>
      <w:r w:rsidRPr="00A3751E">
        <w:t xml:space="preserve">(9), 1475-1487. </w:t>
      </w:r>
    </w:p>
    <w:p w14:paraId="1C8BDE91" w14:textId="77777777" w:rsidR="00A3751E" w:rsidRPr="00A3751E" w:rsidRDefault="00A3751E" w:rsidP="00A3751E">
      <w:pPr>
        <w:pStyle w:val="EndNoteBibliography"/>
        <w:ind w:left="720" w:hanging="720"/>
      </w:pPr>
      <w:r w:rsidRPr="00A3751E">
        <w:lastRenderedPageBreak/>
        <w:t xml:space="preserve">Han, J., Batterham, P. J., Calear, A. L., &amp; Randall, R. (2018). Factors Influencing Professional Help-Seeking for Suicidality. </w:t>
      </w:r>
      <w:r w:rsidRPr="00A3751E">
        <w:rPr>
          <w:i/>
        </w:rPr>
        <w:t>Crisis, 39</w:t>
      </w:r>
      <w:r w:rsidRPr="00A3751E">
        <w:t>(3), 175-196. doi:10.1027/0227-5910/a000485</w:t>
      </w:r>
    </w:p>
    <w:p w14:paraId="614CDDB6" w14:textId="77777777" w:rsidR="00A3751E" w:rsidRPr="00A3751E" w:rsidRDefault="00A3751E" w:rsidP="00A3751E">
      <w:pPr>
        <w:pStyle w:val="EndNoteBibliography"/>
        <w:ind w:left="720" w:hanging="720"/>
      </w:pPr>
      <w:r w:rsidRPr="00A3751E">
        <w:t xml:space="preserve">Handley, T. E., Lewin, T. J., Perkins, D., &amp; Kelly, B. (2018). Self‐recognition of mental health problems in a rural Australian sample. </w:t>
      </w:r>
      <w:r w:rsidRPr="00A3751E">
        <w:rPr>
          <w:i/>
        </w:rPr>
        <w:t>Australian Journal of Rural Health, 26</w:t>
      </w:r>
      <w:r w:rsidRPr="00A3751E">
        <w:t xml:space="preserve">(3), 173-180. </w:t>
      </w:r>
    </w:p>
    <w:p w14:paraId="244E0149" w14:textId="77777777" w:rsidR="00A3751E" w:rsidRPr="00A3751E" w:rsidRDefault="00A3751E" w:rsidP="00A3751E">
      <w:pPr>
        <w:pStyle w:val="EndNoteBibliography"/>
        <w:ind w:left="720" w:hanging="720"/>
      </w:pPr>
      <w:r w:rsidRPr="00A3751E">
        <w:t xml:space="preserve">Highet, N. J., Hickie, I. B., &amp; Davenport, T. A. (2002). Monitoring awareness of and attitudes to depression in Australia. </w:t>
      </w:r>
      <w:r w:rsidRPr="00A3751E">
        <w:rPr>
          <w:i/>
        </w:rPr>
        <w:t>Medical Journal of Australia, 176</w:t>
      </w:r>
      <w:r w:rsidRPr="00A3751E">
        <w:t xml:space="preserve">(10), S63-S63. </w:t>
      </w:r>
    </w:p>
    <w:p w14:paraId="4E5A1A4B" w14:textId="77777777" w:rsidR="00A3751E" w:rsidRPr="00A3751E" w:rsidRDefault="00A3751E" w:rsidP="00A3751E">
      <w:pPr>
        <w:pStyle w:val="EndNoteBibliography"/>
        <w:ind w:left="720" w:hanging="720"/>
      </w:pPr>
      <w:r w:rsidRPr="00A3751E">
        <w:t>Hoeft, T. J., Fortney, J. C., Patel, V., &amp; Unützer, J. J. T. J. o. r. h. (2018). Task‐sharing approaches to improve mental health care in rural and other low‐resource settings: a systematic review.</w:t>
      </w:r>
      <w:r w:rsidRPr="00A3751E">
        <w:rPr>
          <w:i/>
        </w:rPr>
        <w:t xml:space="preserve"> 34</w:t>
      </w:r>
      <w:r w:rsidRPr="00A3751E">
        <w:t xml:space="preserve">(1), 48-62. </w:t>
      </w:r>
    </w:p>
    <w:p w14:paraId="1AF6BB20" w14:textId="77777777" w:rsidR="00A3751E" w:rsidRPr="00A3751E" w:rsidRDefault="00A3751E" w:rsidP="00A3751E">
      <w:pPr>
        <w:pStyle w:val="EndNoteBibliography"/>
        <w:ind w:left="720" w:hanging="720"/>
      </w:pPr>
      <w:r w:rsidRPr="00A3751E">
        <w:t xml:space="preserve">Jackson, H., Judd, F., Komiti, A., Fraser, C., Murray, G., Robins, G., . . . Wearing, A. (2007). Mental health problems in rural contexts: What are the barriers to seeking help from professional providers? </w:t>
      </w:r>
      <w:r w:rsidRPr="00A3751E">
        <w:rPr>
          <w:i/>
        </w:rPr>
        <w:t>Australian Psychologist, 42</w:t>
      </w:r>
      <w:r w:rsidRPr="00A3751E">
        <w:t xml:space="preserve">(2), 147-160. </w:t>
      </w:r>
    </w:p>
    <w:p w14:paraId="68B9EB6B" w14:textId="77777777" w:rsidR="00A3751E" w:rsidRPr="00A3751E" w:rsidRDefault="00A3751E" w:rsidP="00A3751E">
      <w:pPr>
        <w:pStyle w:val="EndNoteBibliography"/>
        <w:ind w:left="720" w:hanging="720"/>
      </w:pPr>
      <w:r w:rsidRPr="00A3751E">
        <w:t xml:space="preserve">Kelly, B. J., Stain, H. J., Coleman, C., Perkins, D., Fragar, L., Fuller, J., . . . Wilson, J. M. (2010a). Mental health and well‐being within rural communities: The Australian Rural Mental Health Study. </w:t>
      </w:r>
      <w:r w:rsidRPr="00A3751E">
        <w:rPr>
          <w:i/>
        </w:rPr>
        <w:t>Australian Journal of Rural Health, 18</w:t>
      </w:r>
      <w:r w:rsidRPr="00A3751E">
        <w:t xml:space="preserve">(1), 16-24. </w:t>
      </w:r>
    </w:p>
    <w:p w14:paraId="147E405E" w14:textId="77777777" w:rsidR="00A3751E" w:rsidRPr="00A3751E" w:rsidRDefault="00A3751E" w:rsidP="00A3751E">
      <w:pPr>
        <w:pStyle w:val="EndNoteBibliography"/>
        <w:ind w:left="720" w:hanging="720"/>
      </w:pPr>
      <w:r w:rsidRPr="00A3751E">
        <w:t>Kelly, B. J., Stain, H. J., Coleman, C., Perkins, D., Fragar, L., Fuller, J., . . . Wilson, J. M. J. A. J. o. R. H. (2010b). Mental health and well‐being within rural communities: The Australian Rural Mental Health Study.</w:t>
      </w:r>
      <w:r w:rsidRPr="00A3751E">
        <w:rPr>
          <w:i/>
        </w:rPr>
        <w:t xml:space="preserve"> 18</w:t>
      </w:r>
      <w:r w:rsidRPr="00A3751E">
        <w:t xml:space="preserve">(1), 16-24. </w:t>
      </w:r>
    </w:p>
    <w:p w14:paraId="79CB5428" w14:textId="77777777" w:rsidR="00A3751E" w:rsidRPr="00A3751E" w:rsidRDefault="00A3751E" w:rsidP="00A3751E">
      <w:pPr>
        <w:pStyle w:val="EndNoteBibliography"/>
        <w:ind w:left="720" w:hanging="720"/>
      </w:pPr>
      <w:r w:rsidRPr="00A3751E">
        <w:t xml:space="preserve">Kennedy, A. J., Brumby, S. A., Versace, V. L., &amp; Brumby-Rendell, T. (2018). Online assessment of suicide stigma, literacy and effect in Australia’s rural farming community. </w:t>
      </w:r>
      <w:r w:rsidRPr="00A3751E">
        <w:rPr>
          <w:i/>
        </w:rPr>
        <w:t>BMC public health, 18</w:t>
      </w:r>
      <w:r w:rsidRPr="00A3751E">
        <w:t xml:space="preserve">(1), 846. </w:t>
      </w:r>
    </w:p>
    <w:p w14:paraId="0FE08A9A" w14:textId="77777777" w:rsidR="00A3751E" w:rsidRPr="00A3751E" w:rsidRDefault="00A3751E" w:rsidP="00A3751E">
      <w:pPr>
        <w:pStyle w:val="EndNoteBibliography"/>
        <w:ind w:left="720" w:hanging="720"/>
      </w:pPr>
      <w:r w:rsidRPr="00A3751E">
        <w:lastRenderedPageBreak/>
        <w:t xml:space="preserve">Kilian, A., &amp; Williamson, A. (2018). What is known about pathways to mental health care for Australian Aboriginal young people?: a narrative review. </w:t>
      </w:r>
      <w:r w:rsidRPr="00A3751E">
        <w:rPr>
          <w:i/>
        </w:rPr>
        <w:t>International journal for equity in health, 17</w:t>
      </w:r>
      <w:r w:rsidRPr="00A3751E">
        <w:t xml:space="preserve">(1), 12. </w:t>
      </w:r>
    </w:p>
    <w:p w14:paraId="57CA9EE6" w14:textId="77777777" w:rsidR="00A3751E" w:rsidRPr="00A3751E" w:rsidRDefault="00A3751E" w:rsidP="00A3751E">
      <w:pPr>
        <w:pStyle w:val="EndNoteBibliography"/>
        <w:ind w:left="720" w:hanging="720"/>
      </w:pPr>
      <w:r w:rsidRPr="00A3751E">
        <w:t xml:space="preserve">Knight, B. G., &amp; Winterbotham, S. (2019). Rural and urban older adults’ perceptions of mental health services accessibility. </w:t>
      </w:r>
      <w:r w:rsidRPr="00A3751E">
        <w:rPr>
          <w:i/>
        </w:rPr>
        <w:t>Aging &amp; mental health</w:t>
      </w:r>
      <w:r w:rsidRPr="00A3751E">
        <w:t xml:space="preserve">, 1-7. </w:t>
      </w:r>
    </w:p>
    <w:p w14:paraId="2E212A1E" w14:textId="77777777" w:rsidR="00A3751E" w:rsidRPr="00A3751E" w:rsidRDefault="00A3751E" w:rsidP="00A3751E">
      <w:pPr>
        <w:pStyle w:val="EndNoteBibliography"/>
        <w:ind w:left="720" w:hanging="720"/>
      </w:pPr>
      <w:r w:rsidRPr="00A3751E">
        <w:t xml:space="preserve">Kõlves, K., Milner, A., McKay, K., &amp; De Leo, D. (2012). </w:t>
      </w:r>
      <w:r w:rsidRPr="00A3751E">
        <w:rPr>
          <w:i/>
        </w:rPr>
        <w:t>Suicide in rural and remote areas of Australia</w:t>
      </w:r>
      <w:r w:rsidRPr="00A3751E">
        <w:t>: Australian Institute for Suicide Research and Prevention Brisbane, Australia.</w:t>
      </w:r>
    </w:p>
    <w:p w14:paraId="0B3F111B" w14:textId="77777777" w:rsidR="00A3751E" w:rsidRPr="00A3751E" w:rsidRDefault="00A3751E" w:rsidP="00A3751E">
      <w:pPr>
        <w:pStyle w:val="EndNoteBibliography"/>
        <w:ind w:left="720" w:hanging="720"/>
      </w:pPr>
      <w:r w:rsidRPr="00A3751E">
        <w:t xml:space="preserve">Kunde, L., Kõlves, K., Kelly, B., Reddy, P., &amp; De Leo, D. (2018). “The Masks We Wear”: A Qualitative Study of Suicide in Australian Farmers. </w:t>
      </w:r>
      <w:r w:rsidRPr="00A3751E">
        <w:rPr>
          <w:i/>
        </w:rPr>
        <w:t>The Journal of Rural Health, 34</w:t>
      </w:r>
      <w:r w:rsidRPr="00A3751E">
        <w:t xml:space="preserve">(3), 254-262. </w:t>
      </w:r>
    </w:p>
    <w:p w14:paraId="21CF889E" w14:textId="77777777" w:rsidR="00A3751E" w:rsidRPr="00A3751E" w:rsidRDefault="00A3751E" w:rsidP="00A3751E">
      <w:pPr>
        <w:pStyle w:val="EndNoteBibliography"/>
        <w:ind w:left="720" w:hanging="720"/>
      </w:pPr>
      <w:r w:rsidRPr="00A3751E">
        <w:t xml:space="preserve">Lindelow, M., Hardy, R., &amp; Rodgers, B. (1997). Development of a scale to measure symptoms of anxiety and depression in the general UK population: the psychiatric symptom frequency scale. </w:t>
      </w:r>
      <w:r w:rsidRPr="00A3751E">
        <w:rPr>
          <w:i/>
        </w:rPr>
        <w:t>J Epidemiol Community Health, 51</w:t>
      </w:r>
      <w:r w:rsidRPr="00A3751E">
        <w:t>(5), 549-557. doi:10.1136/jech.51.5.549</w:t>
      </w:r>
    </w:p>
    <w:p w14:paraId="78969AF9" w14:textId="77777777" w:rsidR="00A3751E" w:rsidRPr="00A3751E" w:rsidRDefault="00A3751E" w:rsidP="00A3751E">
      <w:pPr>
        <w:pStyle w:val="EndNoteBibliography"/>
        <w:ind w:left="720" w:hanging="720"/>
      </w:pPr>
      <w:r w:rsidRPr="00A3751E">
        <w:t xml:space="preserve">MacIsaac, P., Snowdon, T., Thompson, R., Crossland, L., &amp; Veitch, C. (2000). General practitioners leaving rural practice in Western Victoria. </w:t>
      </w:r>
      <w:r w:rsidRPr="00A3751E">
        <w:rPr>
          <w:i/>
        </w:rPr>
        <w:t>Australian Journal of Rural Health, 8</w:t>
      </w:r>
      <w:r w:rsidRPr="00A3751E">
        <w:t xml:space="preserve">(2), 68-72. </w:t>
      </w:r>
    </w:p>
    <w:p w14:paraId="426AC429" w14:textId="77777777" w:rsidR="00A3751E" w:rsidRPr="00A3751E" w:rsidRDefault="00A3751E" w:rsidP="00A3751E">
      <w:pPr>
        <w:pStyle w:val="EndNoteBibliography"/>
        <w:ind w:left="720" w:hanging="720"/>
      </w:pPr>
      <w:r w:rsidRPr="00A3751E">
        <w:t xml:space="preserve">Malatzky, C., &amp; Bourke, L. (2016). Re-producing rural health: Challenging dominant discourses and the manifestation of power. </w:t>
      </w:r>
      <w:r w:rsidRPr="00A3751E">
        <w:rPr>
          <w:i/>
        </w:rPr>
        <w:t>Journal of Rural Studies, 45</w:t>
      </w:r>
      <w:r w:rsidRPr="00A3751E">
        <w:t xml:space="preserve">, 157-164. </w:t>
      </w:r>
    </w:p>
    <w:p w14:paraId="503DB7C4" w14:textId="77777777" w:rsidR="00A3751E" w:rsidRPr="00A3751E" w:rsidRDefault="00A3751E" w:rsidP="00A3751E">
      <w:pPr>
        <w:pStyle w:val="EndNoteBibliography"/>
        <w:ind w:left="720" w:hanging="720"/>
      </w:pPr>
      <w:r w:rsidRPr="00A3751E">
        <w:t>Meadows, G. N., Enticott, J. C., Inder, B., Russell, G. M., &amp; Gurr, R. J. M. J. o. A. (2015). Better access to mental health care and the failure of the Medicare principle of universality.</w:t>
      </w:r>
      <w:r w:rsidRPr="00A3751E">
        <w:rPr>
          <w:i/>
        </w:rPr>
        <w:t xml:space="preserve"> 202</w:t>
      </w:r>
      <w:r w:rsidRPr="00A3751E">
        <w:t xml:space="preserve">(4), 190-194. </w:t>
      </w:r>
    </w:p>
    <w:p w14:paraId="5B30B037" w14:textId="77777777" w:rsidR="00A3751E" w:rsidRPr="00A3751E" w:rsidRDefault="00A3751E" w:rsidP="00A3751E">
      <w:pPr>
        <w:pStyle w:val="EndNoteBibliography"/>
        <w:ind w:left="720" w:hanging="720"/>
      </w:pPr>
      <w:r w:rsidRPr="00A3751E">
        <w:t xml:space="preserve">Perceval, M., Ross, V., Kõlves, K., Reddy, P., &amp; De Leo, D. (2018). Social factors and Australian farmer suicide: a qualitative study. </w:t>
      </w:r>
      <w:r w:rsidRPr="00A3751E">
        <w:rPr>
          <w:i/>
        </w:rPr>
        <w:t>BMC public health, 18</w:t>
      </w:r>
      <w:r w:rsidRPr="00A3751E">
        <w:t xml:space="preserve">(1), 1367. </w:t>
      </w:r>
    </w:p>
    <w:p w14:paraId="2A4164AA" w14:textId="77777777" w:rsidR="00A3751E" w:rsidRPr="00A3751E" w:rsidRDefault="00A3751E" w:rsidP="00A3751E">
      <w:pPr>
        <w:pStyle w:val="EndNoteBibliography"/>
        <w:ind w:left="720" w:hanging="720"/>
      </w:pPr>
      <w:r w:rsidRPr="00A3751E">
        <w:lastRenderedPageBreak/>
        <w:t xml:space="preserve">Ricketts, T. C., &amp; Johnson-Webb, K. D. (1997). </w:t>
      </w:r>
      <w:r w:rsidRPr="00A3751E">
        <w:rPr>
          <w:i/>
        </w:rPr>
        <w:t>What is" rural" and how to measure" rurality": a focus on health care delivery and health policy</w:t>
      </w:r>
      <w:r w:rsidRPr="00A3751E">
        <w:t xml:space="preserve">. Retrieved from Chapel Hill, NC: </w:t>
      </w:r>
    </w:p>
    <w:p w14:paraId="7F92B75C" w14:textId="77777777" w:rsidR="00A3751E" w:rsidRPr="00A3751E" w:rsidRDefault="00A3751E" w:rsidP="00A3751E">
      <w:pPr>
        <w:pStyle w:val="EndNoteBibliography"/>
        <w:ind w:left="720" w:hanging="720"/>
      </w:pPr>
      <w:r w:rsidRPr="00A3751E">
        <w:t xml:space="preserve">Rost, K., Smith, G. R., &amp; Taylor, J. L. (1993). Rural-urban differences in stigma and the use of care for depressive disorders. </w:t>
      </w:r>
      <w:r w:rsidRPr="00A3751E">
        <w:rPr>
          <w:i/>
        </w:rPr>
        <w:t>J Rural Health, 9</w:t>
      </w:r>
      <w:r w:rsidRPr="00A3751E">
        <w:t xml:space="preserve">(1), 57-62. </w:t>
      </w:r>
    </w:p>
    <w:p w14:paraId="6F75FD27" w14:textId="77777777" w:rsidR="00A3751E" w:rsidRPr="00A3751E" w:rsidRDefault="00A3751E" w:rsidP="00A3751E">
      <w:pPr>
        <w:pStyle w:val="EndNoteBibliography"/>
        <w:ind w:left="720" w:hanging="720"/>
      </w:pPr>
      <w:r w:rsidRPr="00A3751E">
        <w:t xml:space="preserve">Sarah Larkins, M., &amp; Gupta, T. S. (2013). Recruitment and retention of general practitioners in rural Canada and Australia: a review of the literature. </w:t>
      </w:r>
      <w:r w:rsidRPr="00A3751E">
        <w:rPr>
          <w:i/>
        </w:rPr>
        <w:t>Canadian Journal of Rural Medicine, 18</w:t>
      </w:r>
      <w:r w:rsidRPr="00A3751E">
        <w:t xml:space="preserve">(1), 13. </w:t>
      </w:r>
    </w:p>
    <w:p w14:paraId="66F07C4D" w14:textId="77777777" w:rsidR="00A3751E" w:rsidRPr="00A3751E" w:rsidRDefault="00A3751E" w:rsidP="00A3751E">
      <w:pPr>
        <w:pStyle w:val="EndNoteBibliography"/>
        <w:ind w:left="720" w:hanging="720"/>
      </w:pPr>
      <w:r w:rsidRPr="00A3751E">
        <w:t xml:space="preserve">Shorthouse, M., &amp; Stone, L. (2018). Inequity amplified: climate change, the Australian farmer, and mental health. </w:t>
      </w:r>
      <w:r w:rsidRPr="00A3751E">
        <w:rPr>
          <w:i/>
        </w:rPr>
        <w:t>The Medical Journal of Australia, 209</w:t>
      </w:r>
      <w:r w:rsidRPr="00A3751E">
        <w:t xml:space="preserve">(4), 156-157. </w:t>
      </w:r>
    </w:p>
    <w:p w14:paraId="6A6387B9" w14:textId="77777777" w:rsidR="00A3751E" w:rsidRPr="00A3751E" w:rsidRDefault="00A3751E" w:rsidP="00A3751E">
      <w:pPr>
        <w:pStyle w:val="EndNoteBibliography"/>
        <w:ind w:left="720" w:hanging="720"/>
      </w:pPr>
      <w:r w:rsidRPr="00A3751E">
        <w:t xml:space="preserve">Sinclair, C., Holloway, K., Riley, G., &amp; Auret, K. (2013). Online mental health resources in rural Australia: clinician perceptions of acceptability. </w:t>
      </w:r>
      <w:r w:rsidRPr="00A3751E">
        <w:rPr>
          <w:i/>
        </w:rPr>
        <w:t>Journal of medical Internet research, 15</w:t>
      </w:r>
      <w:r w:rsidRPr="00A3751E">
        <w:t xml:space="preserve">(9), e193. </w:t>
      </w:r>
    </w:p>
    <w:p w14:paraId="273A27CE" w14:textId="77777777" w:rsidR="00A3751E" w:rsidRPr="00A3751E" w:rsidRDefault="00A3751E" w:rsidP="00A3751E">
      <w:pPr>
        <w:pStyle w:val="EndNoteBibliography"/>
        <w:ind w:left="720" w:hanging="720"/>
      </w:pPr>
      <w:r w:rsidRPr="00A3751E">
        <w:t xml:space="preserve">Smith-Merry, J., Goggin, G., Campbell, A., McKenzie, K., Ridout, B., &amp; Baylosis, C. (2019). Social Connection and Online Engagement: Insights From Interviews With Users of a Mental Health Online Forum. </w:t>
      </w:r>
      <w:r w:rsidRPr="00A3751E">
        <w:rPr>
          <w:i/>
        </w:rPr>
        <w:t>JMIR mental health, 6</w:t>
      </w:r>
      <w:r w:rsidRPr="00A3751E">
        <w:t xml:space="preserve">(3), e11084. </w:t>
      </w:r>
    </w:p>
    <w:p w14:paraId="4B229D26" w14:textId="77777777" w:rsidR="00A3751E" w:rsidRPr="00A3751E" w:rsidRDefault="00A3751E" w:rsidP="00A3751E">
      <w:pPr>
        <w:pStyle w:val="EndNoteBibliography"/>
        <w:ind w:left="720" w:hanging="720"/>
      </w:pPr>
      <w:r w:rsidRPr="00A3751E">
        <w:t xml:space="preserve">Sutherland, C. R., &amp; Chur-Hansen, A. (2014). Knowledge, skills and attitudes of rural and remote psychologists. </w:t>
      </w:r>
      <w:r w:rsidRPr="00A3751E">
        <w:rPr>
          <w:i/>
        </w:rPr>
        <w:t>Aust J Rural Health, 22</w:t>
      </w:r>
      <w:r w:rsidRPr="00A3751E">
        <w:t>(6), 273-279. doi:10.1111/ajr.12152</w:t>
      </w:r>
    </w:p>
    <w:p w14:paraId="7922910E" w14:textId="77777777" w:rsidR="00A3751E" w:rsidRPr="00A3751E" w:rsidRDefault="00A3751E" w:rsidP="00A3751E">
      <w:pPr>
        <w:pStyle w:val="EndNoteBibliography"/>
        <w:ind w:left="720" w:hanging="720"/>
      </w:pPr>
      <w:r w:rsidRPr="00A3751E">
        <w:t xml:space="preserve">Thompson, A., Hunt, C., &amp; Issakidis, C. (2004). Why wait? Reasons for delay and prompts to seek help for mental health problems in an Australian clinical sample. </w:t>
      </w:r>
      <w:r w:rsidRPr="00A3751E">
        <w:rPr>
          <w:i/>
        </w:rPr>
        <w:t>Social psychiatry and psychiatric epidemiology, 39</w:t>
      </w:r>
      <w:r w:rsidRPr="00A3751E">
        <w:t xml:space="preserve">(10), 810-817. </w:t>
      </w:r>
    </w:p>
    <w:p w14:paraId="6547A60A" w14:textId="77777777" w:rsidR="00A3751E" w:rsidRPr="00A3751E" w:rsidRDefault="00A3751E" w:rsidP="00A3751E">
      <w:pPr>
        <w:pStyle w:val="EndNoteBibliography"/>
        <w:ind w:left="720" w:hanging="720"/>
      </w:pPr>
      <w:r w:rsidRPr="00A3751E">
        <w:t xml:space="preserve">Thornicroft, G., &amp; Tansella, M. (2006). </w:t>
      </w:r>
      <w:r w:rsidRPr="00A3751E">
        <w:rPr>
          <w:i/>
        </w:rPr>
        <w:t>The mental health matrix: a manual to improve services</w:t>
      </w:r>
      <w:r w:rsidRPr="00A3751E">
        <w:t>. Cambridge UK: Cambridge University Press.</w:t>
      </w:r>
    </w:p>
    <w:p w14:paraId="37871A03" w14:textId="77777777" w:rsidR="00A3751E" w:rsidRPr="00A3751E" w:rsidRDefault="00A3751E" w:rsidP="00A3751E">
      <w:pPr>
        <w:pStyle w:val="EndNoteBibliography"/>
        <w:ind w:left="720" w:hanging="720"/>
      </w:pPr>
      <w:r w:rsidRPr="00A3751E">
        <w:lastRenderedPageBreak/>
        <w:t xml:space="preserve">Williams, A. D., &amp; Andrews, G. (2013). The effectiveness of Internet cognitive behavioural therapy (iCBT) for depression in primary care: a quality assurance study. </w:t>
      </w:r>
      <w:r w:rsidRPr="00A3751E">
        <w:rPr>
          <w:i/>
        </w:rPr>
        <w:t>PLoS One, 8</w:t>
      </w:r>
      <w:r w:rsidRPr="00A3751E">
        <w:t>(2), e57447. doi:10.1371/journal.pone.0057447</w:t>
      </w:r>
    </w:p>
    <w:p w14:paraId="238FF949" w14:textId="77777777" w:rsidR="00A3751E" w:rsidRPr="00A3751E" w:rsidRDefault="00A3751E" w:rsidP="00A3751E">
      <w:pPr>
        <w:pStyle w:val="EndNoteBibliography"/>
        <w:ind w:left="720" w:hanging="720"/>
      </w:pPr>
      <w:r w:rsidRPr="00A3751E">
        <w:t xml:space="preserve">Wilson, R. L., Wilson, G. G., &amp; Usher, K. (2015). Rural mental health ecology: a framework for engaging with mental health social capital in rural communities. </w:t>
      </w:r>
      <w:r w:rsidRPr="00A3751E">
        <w:rPr>
          <w:i/>
        </w:rPr>
        <w:t>EcoHealth, 12</w:t>
      </w:r>
      <w:r w:rsidRPr="00A3751E">
        <w:t xml:space="preserve">(3), 412-420. </w:t>
      </w:r>
    </w:p>
    <w:p w14:paraId="6D5DFCE5" w14:textId="54FDB184" w:rsidR="00854D48" w:rsidRDefault="004A5569" w:rsidP="002C33ED">
      <w:r>
        <w:fldChar w:fldCharType="end"/>
      </w:r>
    </w:p>
    <w:p w14:paraId="4277B37F" w14:textId="3AC23B32" w:rsidR="00854D48" w:rsidRDefault="00854D48">
      <w:pPr>
        <w:spacing w:after="200" w:line="276" w:lineRule="auto"/>
      </w:pPr>
    </w:p>
    <w:p w14:paraId="29F60488" w14:textId="77777777" w:rsidR="000401B4" w:rsidRDefault="000401B4" w:rsidP="000401B4">
      <w:pPr>
        <w:spacing w:after="200" w:line="276" w:lineRule="auto"/>
        <w:rPr>
          <w:u w:val="single"/>
        </w:rPr>
        <w:sectPr w:rsidR="000401B4">
          <w:footerReference w:type="default" r:id="rId6"/>
          <w:pgSz w:w="11906" w:h="16838"/>
          <w:pgMar w:top="1440" w:right="1440" w:bottom="1440" w:left="1440" w:header="708" w:footer="708" w:gutter="0"/>
          <w:cols w:space="708"/>
          <w:docGrid w:linePitch="360"/>
        </w:sectPr>
      </w:pPr>
    </w:p>
    <w:p w14:paraId="096D11AD" w14:textId="77777777" w:rsidR="006F272E" w:rsidRPr="006F272E" w:rsidRDefault="006F272E" w:rsidP="006F272E">
      <w:r w:rsidRPr="006F272E">
        <w:rPr>
          <w:u w:val="single"/>
        </w:rPr>
        <w:lastRenderedPageBreak/>
        <w:t>Table 1:</w:t>
      </w:r>
      <w:r w:rsidRPr="006F272E">
        <w:t xml:space="preserve"> Characteristics of the sample based on residential area (N=2,347)</w:t>
      </w:r>
    </w:p>
    <w:p w14:paraId="384BE168" w14:textId="77777777" w:rsidR="006F272E" w:rsidRPr="006F272E" w:rsidRDefault="006F272E" w:rsidP="006F272E">
      <w:pPr>
        <w:spacing w:after="200" w:line="276" w:lineRule="auto"/>
        <w:rPr>
          <w:u w:val="single"/>
        </w:rPr>
      </w:pPr>
    </w:p>
    <w:tbl>
      <w:tblPr>
        <w:tblW w:w="11209" w:type="dxa"/>
        <w:tblCellMar>
          <w:left w:w="28" w:type="dxa"/>
          <w:right w:w="28" w:type="dxa"/>
        </w:tblCellMar>
        <w:tblLook w:val="04A0" w:firstRow="1" w:lastRow="0" w:firstColumn="1" w:lastColumn="0" w:noHBand="0" w:noVBand="1"/>
      </w:tblPr>
      <w:tblGrid>
        <w:gridCol w:w="2410"/>
        <w:gridCol w:w="851"/>
        <w:gridCol w:w="993"/>
        <w:gridCol w:w="851"/>
        <w:gridCol w:w="1089"/>
        <w:gridCol w:w="705"/>
        <w:gridCol w:w="1064"/>
        <w:gridCol w:w="705"/>
        <w:gridCol w:w="1064"/>
        <w:gridCol w:w="679"/>
        <w:gridCol w:w="798"/>
      </w:tblGrid>
      <w:tr w:rsidR="006F272E" w:rsidRPr="006F272E" w14:paraId="02F5ED9E" w14:textId="77777777" w:rsidTr="000763B1">
        <w:trPr>
          <w:trHeight w:val="375"/>
        </w:trPr>
        <w:tc>
          <w:tcPr>
            <w:tcW w:w="2410" w:type="dxa"/>
            <w:tcBorders>
              <w:top w:val="single" w:sz="4" w:space="0" w:color="auto"/>
              <w:left w:val="nil"/>
              <w:bottom w:val="nil"/>
              <w:right w:val="nil"/>
            </w:tcBorders>
            <w:shd w:val="clear" w:color="auto" w:fill="auto"/>
            <w:noWrap/>
            <w:tcMar>
              <w:left w:w="28" w:type="dxa"/>
              <w:right w:w="28" w:type="dxa"/>
            </w:tcMar>
            <w:vAlign w:val="bottom"/>
            <w:hideMark/>
          </w:tcPr>
          <w:p w14:paraId="5213182A" w14:textId="77777777" w:rsidR="006F272E" w:rsidRPr="006F272E" w:rsidRDefault="006F272E" w:rsidP="006F272E">
            <w:pPr>
              <w:rPr>
                <w:sz w:val="20"/>
                <w:szCs w:val="20"/>
              </w:rPr>
            </w:pPr>
          </w:p>
        </w:tc>
        <w:tc>
          <w:tcPr>
            <w:tcW w:w="1844" w:type="dxa"/>
            <w:gridSpan w:val="2"/>
            <w:tcBorders>
              <w:top w:val="single" w:sz="4" w:space="0" w:color="auto"/>
              <w:left w:val="nil"/>
              <w:bottom w:val="nil"/>
              <w:right w:val="nil"/>
            </w:tcBorders>
          </w:tcPr>
          <w:p w14:paraId="19DEE6D6" w14:textId="77777777" w:rsidR="006F272E" w:rsidRDefault="006F272E" w:rsidP="006F272E">
            <w:pPr>
              <w:jc w:val="center"/>
              <w:rPr>
                <w:rFonts w:ascii="Calibri" w:hAnsi="Calibri" w:cs="Calibri"/>
                <w:color w:val="000000"/>
                <w:sz w:val="20"/>
                <w:szCs w:val="22"/>
              </w:rPr>
            </w:pPr>
            <w:r>
              <w:rPr>
                <w:rFonts w:ascii="Calibri" w:hAnsi="Calibri" w:cs="Calibri"/>
                <w:color w:val="000000"/>
                <w:sz w:val="20"/>
                <w:szCs w:val="22"/>
              </w:rPr>
              <w:t>Total sample</w:t>
            </w:r>
          </w:p>
          <w:p w14:paraId="3B5E0C90" w14:textId="202F0E14" w:rsidR="006F272E" w:rsidRPr="006F272E" w:rsidRDefault="006F272E" w:rsidP="006F272E">
            <w:pPr>
              <w:jc w:val="center"/>
              <w:rPr>
                <w:rFonts w:ascii="Calibri" w:hAnsi="Calibri" w:cs="Calibri"/>
                <w:color w:val="000000"/>
                <w:sz w:val="20"/>
                <w:szCs w:val="22"/>
              </w:rPr>
            </w:pPr>
            <w:r>
              <w:rPr>
                <w:rFonts w:ascii="Calibri" w:hAnsi="Calibri" w:cs="Calibri"/>
                <w:color w:val="000000"/>
                <w:sz w:val="20"/>
                <w:szCs w:val="22"/>
              </w:rPr>
              <w:t>(N=2347)</w:t>
            </w:r>
          </w:p>
        </w:tc>
        <w:tc>
          <w:tcPr>
            <w:tcW w:w="1940" w:type="dxa"/>
            <w:gridSpan w:val="2"/>
            <w:tcBorders>
              <w:top w:val="single" w:sz="4" w:space="0" w:color="auto"/>
              <w:left w:val="nil"/>
              <w:bottom w:val="nil"/>
              <w:right w:val="nil"/>
            </w:tcBorders>
            <w:shd w:val="clear" w:color="auto" w:fill="auto"/>
            <w:noWrap/>
            <w:tcMar>
              <w:left w:w="28" w:type="dxa"/>
              <w:right w:w="28" w:type="dxa"/>
            </w:tcMar>
            <w:vAlign w:val="bottom"/>
            <w:hideMark/>
          </w:tcPr>
          <w:p w14:paraId="2214CB5A"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Metropolitan area (n=1249)</w:t>
            </w:r>
          </w:p>
        </w:tc>
        <w:tc>
          <w:tcPr>
            <w:tcW w:w="1769" w:type="dxa"/>
            <w:gridSpan w:val="2"/>
            <w:tcBorders>
              <w:top w:val="single" w:sz="4" w:space="0" w:color="auto"/>
              <w:left w:val="nil"/>
              <w:bottom w:val="nil"/>
              <w:right w:val="nil"/>
            </w:tcBorders>
            <w:shd w:val="clear" w:color="auto" w:fill="auto"/>
            <w:noWrap/>
            <w:tcMar>
              <w:left w:w="28" w:type="dxa"/>
              <w:right w:w="28" w:type="dxa"/>
            </w:tcMar>
            <w:vAlign w:val="bottom"/>
            <w:hideMark/>
          </w:tcPr>
          <w:p w14:paraId="12CA09C6"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Regional area (n=867)</w:t>
            </w:r>
          </w:p>
        </w:tc>
        <w:tc>
          <w:tcPr>
            <w:tcW w:w="1769" w:type="dxa"/>
            <w:gridSpan w:val="2"/>
            <w:tcBorders>
              <w:top w:val="single" w:sz="4" w:space="0" w:color="auto"/>
              <w:left w:val="nil"/>
              <w:bottom w:val="nil"/>
              <w:right w:val="nil"/>
            </w:tcBorders>
            <w:shd w:val="clear" w:color="auto" w:fill="auto"/>
            <w:noWrap/>
            <w:tcMar>
              <w:left w:w="28" w:type="dxa"/>
              <w:right w:w="28" w:type="dxa"/>
            </w:tcMar>
            <w:vAlign w:val="bottom"/>
            <w:hideMark/>
          </w:tcPr>
          <w:p w14:paraId="6BE5AEBE"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Rural area</w:t>
            </w:r>
            <w:r w:rsidRPr="006F272E">
              <w:rPr>
                <w:rFonts w:ascii="Calibri" w:hAnsi="Calibri" w:cs="Calibri"/>
                <w:color w:val="000000"/>
                <w:sz w:val="20"/>
                <w:szCs w:val="22"/>
              </w:rPr>
              <w:br/>
              <w:t>(n=258)</w:t>
            </w:r>
          </w:p>
        </w:tc>
        <w:tc>
          <w:tcPr>
            <w:tcW w:w="679" w:type="dxa"/>
            <w:tcBorders>
              <w:top w:val="single" w:sz="4" w:space="0" w:color="auto"/>
              <w:left w:val="nil"/>
              <w:bottom w:val="nil"/>
              <w:right w:val="nil"/>
            </w:tcBorders>
            <w:shd w:val="clear" w:color="auto" w:fill="auto"/>
            <w:noWrap/>
            <w:tcMar>
              <w:left w:w="28" w:type="dxa"/>
              <w:right w:w="28" w:type="dxa"/>
            </w:tcMar>
            <w:vAlign w:val="bottom"/>
            <w:hideMark/>
          </w:tcPr>
          <w:p w14:paraId="656DA99B" w14:textId="77777777" w:rsidR="006F272E" w:rsidRPr="006F272E" w:rsidRDefault="006F272E" w:rsidP="006F272E">
            <w:pPr>
              <w:rPr>
                <w:rFonts w:ascii="Calibri" w:hAnsi="Calibri" w:cs="Calibri"/>
                <w:color w:val="000000"/>
                <w:sz w:val="20"/>
                <w:szCs w:val="22"/>
              </w:rPr>
            </w:pPr>
          </w:p>
        </w:tc>
        <w:tc>
          <w:tcPr>
            <w:tcW w:w="798" w:type="dxa"/>
            <w:tcBorders>
              <w:top w:val="single" w:sz="4" w:space="0" w:color="auto"/>
              <w:left w:val="nil"/>
              <w:bottom w:val="nil"/>
              <w:right w:val="nil"/>
            </w:tcBorders>
            <w:shd w:val="clear" w:color="auto" w:fill="auto"/>
            <w:noWrap/>
            <w:tcMar>
              <w:left w:w="28" w:type="dxa"/>
              <w:right w:w="28" w:type="dxa"/>
            </w:tcMar>
            <w:vAlign w:val="bottom"/>
            <w:hideMark/>
          </w:tcPr>
          <w:p w14:paraId="3B107F71" w14:textId="77777777" w:rsidR="006F272E" w:rsidRPr="006F272E" w:rsidRDefault="006F272E" w:rsidP="006F272E">
            <w:pPr>
              <w:rPr>
                <w:sz w:val="20"/>
                <w:szCs w:val="20"/>
              </w:rPr>
            </w:pPr>
          </w:p>
        </w:tc>
      </w:tr>
      <w:tr w:rsidR="006F272E" w:rsidRPr="006F272E" w14:paraId="0F7F25C8" w14:textId="77777777" w:rsidTr="000763B1">
        <w:trPr>
          <w:trHeight w:val="375"/>
        </w:trPr>
        <w:tc>
          <w:tcPr>
            <w:tcW w:w="2410" w:type="dxa"/>
            <w:tcBorders>
              <w:top w:val="nil"/>
              <w:left w:val="nil"/>
              <w:bottom w:val="single" w:sz="4" w:space="0" w:color="auto"/>
              <w:right w:val="nil"/>
            </w:tcBorders>
            <w:shd w:val="clear" w:color="auto" w:fill="auto"/>
            <w:noWrap/>
            <w:tcMar>
              <w:left w:w="28" w:type="dxa"/>
              <w:right w:w="28" w:type="dxa"/>
            </w:tcMar>
            <w:vAlign w:val="bottom"/>
            <w:hideMark/>
          </w:tcPr>
          <w:p w14:paraId="2FA97887" w14:textId="77777777" w:rsidR="006F272E" w:rsidRPr="006F272E" w:rsidRDefault="006F272E" w:rsidP="006F272E">
            <w:pPr>
              <w:rPr>
                <w:sz w:val="20"/>
                <w:szCs w:val="20"/>
              </w:rPr>
            </w:pPr>
          </w:p>
        </w:tc>
        <w:tc>
          <w:tcPr>
            <w:tcW w:w="851" w:type="dxa"/>
            <w:tcBorders>
              <w:top w:val="nil"/>
              <w:left w:val="nil"/>
              <w:bottom w:val="single" w:sz="4" w:space="0" w:color="auto"/>
              <w:right w:val="nil"/>
            </w:tcBorders>
            <w:vAlign w:val="bottom"/>
          </w:tcPr>
          <w:p w14:paraId="13819A61" w14:textId="5A6811FF"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 xml:space="preserve">n </w:t>
            </w:r>
          </w:p>
        </w:tc>
        <w:tc>
          <w:tcPr>
            <w:tcW w:w="993" w:type="dxa"/>
            <w:tcBorders>
              <w:top w:val="nil"/>
              <w:left w:val="nil"/>
              <w:bottom w:val="single" w:sz="4" w:space="0" w:color="auto"/>
              <w:right w:val="nil"/>
            </w:tcBorders>
            <w:vAlign w:val="bottom"/>
          </w:tcPr>
          <w:p w14:paraId="6E0C42B8" w14:textId="658745DE" w:rsidR="006F272E" w:rsidRPr="006F272E" w:rsidRDefault="006F272E" w:rsidP="000763B1">
            <w:pPr>
              <w:rPr>
                <w:rFonts w:ascii="Calibri" w:hAnsi="Calibri" w:cs="Calibri"/>
                <w:color w:val="000000"/>
                <w:sz w:val="20"/>
                <w:szCs w:val="22"/>
              </w:rPr>
            </w:pPr>
            <w:r w:rsidRPr="006F272E">
              <w:rPr>
                <w:rFonts w:ascii="Calibri" w:hAnsi="Calibri" w:cs="Calibri"/>
                <w:color w:val="000000"/>
                <w:sz w:val="20"/>
                <w:szCs w:val="22"/>
              </w:rPr>
              <w:t>( % )</w:t>
            </w:r>
          </w:p>
        </w:tc>
        <w:tc>
          <w:tcPr>
            <w:tcW w:w="851" w:type="dxa"/>
            <w:tcBorders>
              <w:top w:val="nil"/>
              <w:left w:val="nil"/>
              <w:bottom w:val="single" w:sz="4" w:space="0" w:color="auto"/>
              <w:right w:val="nil"/>
            </w:tcBorders>
            <w:shd w:val="clear" w:color="auto" w:fill="auto"/>
            <w:noWrap/>
            <w:tcMar>
              <w:left w:w="28" w:type="dxa"/>
              <w:right w:w="28" w:type="dxa"/>
            </w:tcMar>
            <w:vAlign w:val="bottom"/>
            <w:hideMark/>
          </w:tcPr>
          <w:p w14:paraId="6768719F"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 xml:space="preserve">n </w:t>
            </w:r>
          </w:p>
        </w:tc>
        <w:tc>
          <w:tcPr>
            <w:tcW w:w="1089" w:type="dxa"/>
            <w:tcBorders>
              <w:top w:val="nil"/>
              <w:left w:val="nil"/>
              <w:bottom w:val="single" w:sz="4" w:space="0" w:color="auto"/>
              <w:right w:val="nil"/>
            </w:tcBorders>
            <w:shd w:val="clear" w:color="auto" w:fill="auto"/>
            <w:noWrap/>
            <w:tcMar>
              <w:left w:w="28" w:type="dxa"/>
              <w:right w:w="28" w:type="dxa"/>
            </w:tcMar>
            <w:vAlign w:val="bottom"/>
            <w:hideMark/>
          </w:tcPr>
          <w:p w14:paraId="2CDBC671"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 )</w:t>
            </w:r>
          </w:p>
        </w:tc>
        <w:tc>
          <w:tcPr>
            <w:tcW w:w="705" w:type="dxa"/>
            <w:tcBorders>
              <w:top w:val="nil"/>
              <w:left w:val="nil"/>
              <w:bottom w:val="single" w:sz="4" w:space="0" w:color="auto"/>
              <w:right w:val="nil"/>
            </w:tcBorders>
            <w:shd w:val="clear" w:color="auto" w:fill="auto"/>
            <w:noWrap/>
            <w:tcMar>
              <w:left w:w="28" w:type="dxa"/>
              <w:right w:w="28" w:type="dxa"/>
            </w:tcMar>
            <w:vAlign w:val="bottom"/>
            <w:hideMark/>
          </w:tcPr>
          <w:p w14:paraId="0658A330"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 xml:space="preserve">n </w:t>
            </w:r>
          </w:p>
        </w:tc>
        <w:tc>
          <w:tcPr>
            <w:tcW w:w="1064" w:type="dxa"/>
            <w:tcBorders>
              <w:top w:val="nil"/>
              <w:left w:val="nil"/>
              <w:bottom w:val="single" w:sz="4" w:space="0" w:color="auto"/>
              <w:right w:val="nil"/>
            </w:tcBorders>
            <w:shd w:val="clear" w:color="auto" w:fill="auto"/>
            <w:noWrap/>
            <w:tcMar>
              <w:left w:w="28" w:type="dxa"/>
              <w:right w:w="28" w:type="dxa"/>
            </w:tcMar>
            <w:vAlign w:val="bottom"/>
            <w:hideMark/>
          </w:tcPr>
          <w:p w14:paraId="11791C84"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 )</w:t>
            </w:r>
          </w:p>
        </w:tc>
        <w:tc>
          <w:tcPr>
            <w:tcW w:w="705" w:type="dxa"/>
            <w:tcBorders>
              <w:top w:val="nil"/>
              <w:left w:val="nil"/>
              <w:bottom w:val="single" w:sz="4" w:space="0" w:color="auto"/>
              <w:right w:val="nil"/>
            </w:tcBorders>
            <w:shd w:val="clear" w:color="auto" w:fill="auto"/>
            <w:noWrap/>
            <w:tcMar>
              <w:left w:w="28" w:type="dxa"/>
              <w:right w:w="28" w:type="dxa"/>
            </w:tcMar>
            <w:vAlign w:val="bottom"/>
            <w:hideMark/>
          </w:tcPr>
          <w:p w14:paraId="6E47B0A4"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 xml:space="preserve">n </w:t>
            </w:r>
          </w:p>
        </w:tc>
        <w:tc>
          <w:tcPr>
            <w:tcW w:w="1064" w:type="dxa"/>
            <w:tcBorders>
              <w:top w:val="nil"/>
              <w:left w:val="nil"/>
              <w:bottom w:val="single" w:sz="4" w:space="0" w:color="auto"/>
              <w:right w:val="nil"/>
            </w:tcBorders>
            <w:shd w:val="clear" w:color="auto" w:fill="auto"/>
            <w:noWrap/>
            <w:tcMar>
              <w:left w:w="28" w:type="dxa"/>
              <w:right w:w="28" w:type="dxa"/>
            </w:tcMar>
            <w:vAlign w:val="bottom"/>
            <w:hideMark/>
          </w:tcPr>
          <w:p w14:paraId="4F5088BA"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 )</w:t>
            </w:r>
          </w:p>
        </w:tc>
        <w:tc>
          <w:tcPr>
            <w:tcW w:w="679" w:type="dxa"/>
            <w:tcBorders>
              <w:top w:val="nil"/>
              <w:left w:val="nil"/>
              <w:bottom w:val="single" w:sz="4" w:space="0" w:color="auto"/>
              <w:right w:val="nil"/>
            </w:tcBorders>
            <w:shd w:val="clear" w:color="auto" w:fill="auto"/>
            <w:noWrap/>
            <w:tcMar>
              <w:left w:w="28" w:type="dxa"/>
              <w:right w:w="28" w:type="dxa"/>
            </w:tcMar>
            <w:vAlign w:val="bottom"/>
            <w:hideMark/>
          </w:tcPr>
          <w:p w14:paraId="5F9A18DE" w14:textId="77777777" w:rsidR="006F272E" w:rsidRPr="006F272E" w:rsidRDefault="006F272E" w:rsidP="006F272E">
            <w:pPr>
              <w:jc w:val="center"/>
              <w:rPr>
                <w:rFonts w:ascii="Calibri" w:hAnsi="Calibri" w:cs="Calibri"/>
                <w:i/>
                <w:color w:val="000000"/>
                <w:sz w:val="20"/>
                <w:szCs w:val="22"/>
              </w:rPr>
            </w:pPr>
            <w:r w:rsidRPr="006F272E">
              <w:rPr>
                <w:rFonts w:ascii="Calibri" w:hAnsi="Calibri" w:cs="Calibri"/>
                <w:i/>
                <w:color w:val="000000"/>
                <w:sz w:val="20"/>
                <w:szCs w:val="22"/>
              </w:rPr>
              <w:t>χ</w:t>
            </w:r>
            <w:r w:rsidRPr="006F272E">
              <w:rPr>
                <w:rFonts w:ascii="Calibri" w:hAnsi="Calibri" w:cs="Calibri"/>
                <w:i/>
                <w:color w:val="000000"/>
                <w:sz w:val="20"/>
                <w:szCs w:val="22"/>
                <w:vertAlign w:val="superscript"/>
              </w:rPr>
              <w:t>2</w:t>
            </w:r>
          </w:p>
        </w:tc>
        <w:tc>
          <w:tcPr>
            <w:tcW w:w="798" w:type="dxa"/>
            <w:tcBorders>
              <w:top w:val="nil"/>
              <w:left w:val="nil"/>
              <w:bottom w:val="single" w:sz="4" w:space="0" w:color="auto"/>
              <w:right w:val="nil"/>
            </w:tcBorders>
            <w:shd w:val="clear" w:color="auto" w:fill="auto"/>
            <w:noWrap/>
            <w:tcMar>
              <w:left w:w="28" w:type="dxa"/>
              <w:right w:w="28" w:type="dxa"/>
            </w:tcMar>
            <w:vAlign w:val="bottom"/>
            <w:hideMark/>
          </w:tcPr>
          <w:p w14:paraId="35B8D98F" w14:textId="77777777" w:rsidR="006F272E" w:rsidRPr="006F272E" w:rsidRDefault="006F272E" w:rsidP="006F272E">
            <w:pPr>
              <w:jc w:val="center"/>
              <w:rPr>
                <w:rFonts w:ascii="Calibri" w:hAnsi="Calibri" w:cs="Calibri"/>
                <w:i/>
                <w:color w:val="000000"/>
                <w:sz w:val="20"/>
                <w:szCs w:val="22"/>
              </w:rPr>
            </w:pPr>
            <w:r w:rsidRPr="006F272E">
              <w:rPr>
                <w:rFonts w:ascii="Calibri" w:hAnsi="Calibri" w:cs="Calibri"/>
                <w:i/>
                <w:color w:val="000000"/>
                <w:sz w:val="20"/>
                <w:szCs w:val="22"/>
              </w:rPr>
              <w:t>p</w:t>
            </w:r>
          </w:p>
        </w:tc>
      </w:tr>
      <w:tr w:rsidR="006F272E" w:rsidRPr="006F272E" w14:paraId="4BC9A970" w14:textId="77777777" w:rsidTr="000763B1">
        <w:trPr>
          <w:trHeight w:val="375"/>
        </w:trPr>
        <w:tc>
          <w:tcPr>
            <w:tcW w:w="2410" w:type="dxa"/>
            <w:tcBorders>
              <w:top w:val="single" w:sz="4" w:space="0" w:color="auto"/>
              <w:left w:val="nil"/>
              <w:bottom w:val="nil"/>
              <w:right w:val="nil"/>
            </w:tcBorders>
            <w:shd w:val="clear" w:color="auto" w:fill="auto"/>
            <w:noWrap/>
            <w:tcMar>
              <w:left w:w="28" w:type="dxa"/>
              <w:right w:w="28" w:type="dxa"/>
            </w:tcMar>
            <w:vAlign w:val="bottom"/>
            <w:hideMark/>
          </w:tcPr>
          <w:p w14:paraId="1BD9338A"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Gender</w:t>
            </w:r>
          </w:p>
        </w:tc>
        <w:tc>
          <w:tcPr>
            <w:tcW w:w="851" w:type="dxa"/>
            <w:tcBorders>
              <w:top w:val="single" w:sz="4" w:space="0" w:color="auto"/>
              <w:left w:val="nil"/>
              <w:bottom w:val="nil"/>
              <w:right w:val="nil"/>
            </w:tcBorders>
          </w:tcPr>
          <w:p w14:paraId="769AEC5A" w14:textId="77777777" w:rsidR="006F272E" w:rsidRPr="006F272E" w:rsidRDefault="006F272E" w:rsidP="006F272E">
            <w:pPr>
              <w:rPr>
                <w:rFonts w:ascii="Calibri" w:hAnsi="Calibri" w:cs="Calibri"/>
                <w:color w:val="000000"/>
                <w:sz w:val="20"/>
                <w:szCs w:val="22"/>
              </w:rPr>
            </w:pPr>
          </w:p>
        </w:tc>
        <w:tc>
          <w:tcPr>
            <w:tcW w:w="993" w:type="dxa"/>
            <w:tcBorders>
              <w:top w:val="single" w:sz="4" w:space="0" w:color="auto"/>
              <w:left w:val="nil"/>
              <w:bottom w:val="nil"/>
              <w:right w:val="nil"/>
            </w:tcBorders>
          </w:tcPr>
          <w:p w14:paraId="306A33E1" w14:textId="77777777" w:rsidR="006F272E" w:rsidRPr="006F272E" w:rsidRDefault="006F272E" w:rsidP="006F272E">
            <w:pPr>
              <w:rPr>
                <w:rFonts w:ascii="Calibri" w:hAnsi="Calibri" w:cs="Calibri"/>
                <w:color w:val="000000"/>
                <w:sz w:val="20"/>
                <w:szCs w:val="22"/>
              </w:rPr>
            </w:pPr>
          </w:p>
        </w:tc>
        <w:tc>
          <w:tcPr>
            <w:tcW w:w="851" w:type="dxa"/>
            <w:tcBorders>
              <w:top w:val="single" w:sz="4" w:space="0" w:color="auto"/>
              <w:left w:val="nil"/>
              <w:bottom w:val="nil"/>
              <w:right w:val="nil"/>
            </w:tcBorders>
            <w:shd w:val="clear" w:color="auto" w:fill="auto"/>
            <w:noWrap/>
            <w:tcMar>
              <w:left w:w="28" w:type="dxa"/>
              <w:right w:w="28" w:type="dxa"/>
            </w:tcMar>
            <w:vAlign w:val="bottom"/>
            <w:hideMark/>
          </w:tcPr>
          <w:p w14:paraId="755509E3" w14:textId="77777777" w:rsidR="006F272E" w:rsidRPr="006F272E" w:rsidRDefault="006F272E" w:rsidP="006F272E">
            <w:pPr>
              <w:rPr>
                <w:rFonts w:ascii="Calibri" w:hAnsi="Calibri" w:cs="Calibri"/>
                <w:color w:val="000000"/>
                <w:sz w:val="20"/>
                <w:szCs w:val="22"/>
              </w:rPr>
            </w:pPr>
          </w:p>
        </w:tc>
        <w:tc>
          <w:tcPr>
            <w:tcW w:w="1089" w:type="dxa"/>
            <w:tcBorders>
              <w:top w:val="single" w:sz="4" w:space="0" w:color="auto"/>
              <w:left w:val="nil"/>
              <w:bottom w:val="nil"/>
              <w:right w:val="nil"/>
            </w:tcBorders>
            <w:shd w:val="clear" w:color="auto" w:fill="auto"/>
            <w:noWrap/>
            <w:tcMar>
              <w:left w:w="28" w:type="dxa"/>
              <w:right w:w="28" w:type="dxa"/>
            </w:tcMar>
            <w:vAlign w:val="bottom"/>
            <w:hideMark/>
          </w:tcPr>
          <w:p w14:paraId="5A6950C9" w14:textId="77777777" w:rsidR="006F272E" w:rsidRPr="006F272E" w:rsidRDefault="006F272E" w:rsidP="006F272E">
            <w:pPr>
              <w:rPr>
                <w:sz w:val="20"/>
                <w:szCs w:val="20"/>
              </w:rPr>
            </w:pPr>
          </w:p>
        </w:tc>
        <w:tc>
          <w:tcPr>
            <w:tcW w:w="705" w:type="dxa"/>
            <w:tcBorders>
              <w:top w:val="single" w:sz="4" w:space="0" w:color="auto"/>
              <w:left w:val="nil"/>
              <w:bottom w:val="nil"/>
              <w:right w:val="nil"/>
            </w:tcBorders>
            <w:shd w:val="clear" w:color="auto" w:fill="auto"/>
            <w:noWrap/>
            <w:tcMar>
              <w:left w:w="28" w:type="dxa"/>
              <w:right w:w="28" w:type="dxa"/>
            </w:tcMar>
            <w:vAlign w:val="bottom"/>
            <w:hideMark/>
          </w:tcPr>
          <w:p w14:paraId="154D0AA9" w14:textId="77777777" w:rsidR="006F272E" w:rsidRPr="006F272E" w:rsidRDefault="006F272E" w:rsidP="006F272E">
            <w:pPr>
              <w:rPr>
                <w:sz w:val="20"/>
                <w:szCs w:val="20"/>
              </w:rPr>
            </w:pPr>
          </w:p>
        </w:tc>
        <w:tc>
          <w:tcPr>
            <w:tcW w:w="1064" w:type="dxa"/>
            <w:tcBorders>
              <w:top w:val="single" w:sz="4" w:space="0" w:color="auto"/>
              <w:left w:val="nil"/>
              <w:bottom w:val="nil"/>
              <w:right w:val="nil"/>
            </w:tcBorders>
            <w:shd w:val="clear" w:color="auto" w:fill="auto"/>
            <w:noWrap/>
            <w:tcMar>
              <w:left w:w="28" w:type="dxa"/>
              <w:right w:w="28" w:type="dxa"/>
            </w:tcMar>
            <w:vAlign w:val="bottom"/>
            <w:hideMark/>
          </w:tcPr>
          <w:p w14:paraId="479EAE7D" w14:textId="77777777" w:rsidR="006F272E" w:rsidRPr="006F272E" w:rsidRDefault="006F272E" w:rsidP="006F272E">
            <w:pPr>
              <w:rPr>
                <w:sz w:val="20"/>
                <w:szCs w:val="20"/>
              </w:rPr>
            </w:pPr>
          </w:p>
        </w:tc>
        <w:tc>
          <w:tcPr>
            <w:tcW w:w="705" w:type="dxa"/>
            <w:tcBorders>
              <w:top w:val="single" w:sz="4" w:space="0" w:color="auto"/>
              <w:left w:val="nil"/>
              <w:bottom w:val="nil"/>
              <w:right w:val="nil"/>
            </w:tcBorders>
            <w:shd w:val="clear" w:color="auto" w:fill="auto"/>
            <w:noWrap/>
            <w:tcMar>
              <w:left w:w="28" w:type="dxa"/>
              <w:right w:w="28" w:type="dxa"/>
            </w:tcMar>
            <w:vAlign w:val="bottom"/>
            <w:hideMark/>
          </w:tcPr>
          <w:p w14:paraId="2D98DAFC" w14:textId="77777777" w:rsidR="006F272E" w:rsidRPr="006F272E" w:rsidRDefault="006F272E" w:rsidP="006F272E">
            <w:pPr>
              <w:rPr>
                <w:sz w:val="20"/>
                <w:szCs w:val="20"/>
              </w:rPr>
            </w:pPr>
          </w:p>
        </w:tc>
        <w:tc>
          <w:tcPr>
            <w:tcW w:w="1064" w:type="dxa"/>
            <w:tcBorders>
              <w:top w:val="single" w:sz="4" w:space="0" w:color="auto"/>
              <w:left w:val="nil"/>
              <w:bottom w:val="nil"/>
              <w:right w:val="nil"/>
            </w:tcBorders>
            <w:shd w:val="clear" w:color="auto" w:fill="auto"/>
            <w:noWrap/>
            <w:tcMar>
              <w:left w:w="28" w:type="dxa"/>
              <w:right w:w="28" w:type="dxa"/>
            </w:tcMar>
            <w:vAlign w:val="bottom"/>
            <w:hideMark/>
          </w:tcPr>
          <w:p w14:paraId="5C15CCC3" w14:textId="77777777" w:rsidR="006F272E" w:rsidRPr="006F272E" w:rsidRDefault="006F272E" w:rsidP="006F272E">
            <w:pPr>
              <w:rPr>
                <w:sz w:val="20"/>
                <w:szCs w:val="20"/>
              </w:rPr>
            </w:pPr>
          </w:p>
        </w:tc>
        <w:tc>
          <w:tcPr>
            <w:tcW w:w="679" w:type="dxa"/>
            <w:tcBorders>
              <w:top w:val="single" w:sz="4" w:space="0" w:color="auto"/>
              <w:left w:val="nil"/>
              <w:bottom w:val="nil"/>
              <w:right w:val="nil"/>
            </w:tcBorders>
            <w:shd w:val="clear" w:color="auto" w:fill="auto"/>
            <w:noWrap/>
            <w:tcMar>
              <w:left w:w="28" w:type="dxa"/>
              <w:right w:w="28" w:type="dxa"/>
            </w:tcMar>
            <w:vAlign w:val="bottom"/>
            <w:hideMark/>
          </w:tcPr>
          <w:p w14:paraId="4B5D3F2A"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6.05</w:t>
            </w:r>
          </w:p>
        </w:tc>
        <w:tc>
          <w:tcPr>
            <w:tcW w:w="798" w:type="dxa"/>
            <w:tcBorders>
              <w:top w:val="single" w:sz="4" w:space="0" w:color="auto"/>
              <w:left w:val="nil"/>
              <w:bottom w:val="nil"/>
              <w:right w:val="nil"/>
            </w:tcBorders>
            <w:shd w:val="clear" w:color="auto" w:fill="auto"/>
            <w:noWrap/>
            <w:tcMar>
              <w:left w:w="28" w:type="dxa"/>
              <w:right w:w="28" w:type="dxa"/>
            </w:tcMar>
            <w:vAlign w:val="bottom"/>
            <w:hideMark/>
          </w:tcPr>
          <w:p w14:paraId="534CFE6E"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0.195</w:t>
            </w:r>
          </w:p>
        </w:tc>
      </w:tr>
      <w:tr w:rsidR="006F272E" w:rsidRPr="006F272E" w14:paraId="28A86A57"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1276019C"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Female</w:t>
            </w:r>
          </w:p>
        </w:tc>
        <w:tc>
          <w:tcPr>
            <w:tcW w:w="851" w:type="dxa"/>
            <w:tcBorders>
              <w:top w:val="nil"/>
              <w:left w:val="nil"/>
              <w:bottom w:val="nil"/>
              <w:right w:val="nil"/>
            </w:tcBorders>
            <w:vAlign w:val="bottom"/>
          </w:tcPr>
          <w:p w14:paraId="542881EE" w14:textId="42835F4F" w:rsidR="006F272E" w:rsidRPr="006F272E" w:rsidRDefault="006F272E">
            <w:pPr>
              <w:jc w:val="right"/>
              <w:rPr>
                <w:rFonts w:ascii="Calibri" w:hAnsi="Calibri" w:cs="Calibri"/>
                <w:color w:val="000000"/>
                <w:sz w:val="20"/>
                <w:szCs w:val="22"/>
              </w:rPr>
            </w:pPr>
            <w:r>
              <w:rPr>
                <w:rFonts w:ascii="Calibri" w:hAnsi="Calibri" w:cs="Calibri"/>
                <w:color w:val="000000"/>
                <w:sz w:val="20"/>
                <w:szCs w:val="22"/>
              </w:rPr>
              <w:t>1868</w:t>
            </w:r>
          </w:p>
        </w:tc>
        <w:tc>
          <w:tcPr>
            <w:tcW w:w="993" w:type="dxa"/>
            <w:tcBorders>
              <w:top w:val="nil"/>
              <w:left w:val="nil"/>
              <w:bottom w:val="nil"/>
              <w:right w:val="nil"/>
            </w:tcBorders>
            <w:vAlign w:val="bottom"/>
          </w:tcPr>
          <w:p w14:paraId="310D7382" w14:textId="44EC31E4" w:rsidR="006F272E" w:rsidRPr="006F272E" w:rsidRDefault="006F272E" w:rsidP="000763B1">
            <w:pPr>
              <w:rPr>
                <w:rFonts w:ascii="Calibri" w:hAnsi="Calibri" w:cs="Calibri"/>
                <w:color w:val="000000"/>
                <w:sz w:val="20"/>
                <w:szCs w:val="22"/>
              </w:rPr>
            </w:pPr>
            <w:r>
              <w:rPr>
                <w:rFonts w:ascii="Calibri" w:hAnsi="Calibri" w:cs="Calibri"/>
                <w:color w:val="000000"/>
                <w:sz w:val="20"/>
                <w:szCs w:val="22"/>
              </w:rPr>
              <w:t>( 79.6% )</w:t>
            </w:r>
          </w:p>
        </w:tc>
        <w:tc>
          <w:tcPr>
            <w:tcW w:w="851" w:type="dxa"/>
            <w:tcBorders>
              <w:top w:val="nil"/>
              <w:left w:val="nil"/>
              <w:bottom w:val="nil"/>
              <w:right w:val="nil"/>
            </w:tcBorders>
            <w:shd w:val="clear" w:color="auto" w:fill="auto"/>
            <w:noWrap/>
            <w:tcMar>
              <w:left w:w="28" w:type="dxa"/>
              <w:right w:w="28" w:type="dxa"/>
            </w:tcMar>
            <w:vAlign w:val="bottom"/>
            <w:hideMark/>
          </w:tcPr>
          <w:p w14:paraId="6C151937"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984</w:t>
            </w:r>
          </w:p>
        </w:tc>
        <w:tc>
          <w:tcPr>
            <w:tcW w:w="1089" w:type="dxa"/>
            <w:tcBorders>
              <w:top w:val="nil"/>
              <w:left w:val="nil"/>
              <w:bottom w:val="nil"/>
              <w:right w:val="nil"/>
            </w:tcBorders>
            <w:shd w:val="clear" w:color="auto" w:fill="auto"/>
            <w:noWrap/>
            <w:tcMar>
              <w:left w:w="28" w:type="dxa"/>
              <w:right w:w="28" w:type="dxa"/>
            </w:tcMar>
            <w:vAlign w:val="bottom"/>
            <w:hideMark/>
          </w:tcPr>
          <w:p w14:paraId="00754EC4"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( 78.8% )</w:t>
            </w:r>
          </w:p>
        </w:tc>
        <w:tc>
          <w:tcPr>
            <w:tcW w:w="705" w:type="dxa"/>
            <w:tcBorders>
              <w:top w:val="nil"/>
              <w:left w:val="nil"/>
              <w:bottom w:val="nil"/>
              <w:right w:val="nil"/>
            </w:tcBorders>
            <w:shd w:val="clear" w:color="auto" w:fill="auto"/>
            <w:noWrap/>
            <w:tcMar>
              <w:left w:w="28" w:type="dxa"/>
              <w:right w:w="28" w:type="dxa"/>
            </w:tcMar>
            <w:vAlign w:val="bottom"/>
            <w:hideMark/>
          </w:tcPr>
          <w:p w14:paraId="2F5B6B61"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671</w:t>
            </w:r>
          </w:p>
        </w:tc>
        <w:tc>
          <w:tcPr>
            <w:tcW w:w="1064" w:type="dxa"/>
            <w:tcBorders>
              <w:top w:val="nil"/>
              <w:left w:val="nil"/>
              <w:bottom w:val="nil"/>
              <w:right w:val="nil"/>
            </w:tcBorders>
            <w:shd w:val="clear" w:color="auto" w:fill="auto"/>
            <w:noWrap/>
            <w:tcMar>
              <w:left w:w="28" w:type="dxa"/>
              <w:right w:w="28" w:type="dxa"/>
            </w:tcMar>
            <w:vAlign w:val="bottom"/>
            <w:hideMark/>
          </w:tcPr>
          <w:p w14:paraId="6133283A"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( 77.4% )</w:t>
            </w:r>
          </w:p>
        </w:tc>
        <w:tc>
          <w:tcPr>
            <w:tcW w:w="705" w:type="dxa"/>
            <w:tcBorders>
              <w:top w:val="nil"/>
              <w:left w:val="nil"/>
              <w:bottom w:val="nil"/>
              <w:right w:val="nil"/>
            </w:tcBorders>
            <w:shd w:val="clear" w:color="auto" w:fill="auto"/>
            <w:noWrap/>
            <w:tcMar>
              <w:left w:w="28" w:type="dxa"/>
              <w:right w:w="28" w:type="dxa"/>
            </w:tcMar>
            <w:vAlign w:val="bottom"/>
            <w:hideMark/>
          </w:tcPr>
          <w:p w14:paraId="029B230F"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213</w:t>
            </w:r>
          </w:p>
        </w:tc>
        <w:tc>
          <w:tcPr>
            <w:tcW w:w="1064" w:type="dxa"/>
            <w:tcBorders>
              <w:top w:val="nil"/>
              <w:left w:val="nil"/>
              <w:bottom w:val="nil"/>
              <w:right w:val="nil"/>
            </w:tcBorders>
            <w:shd w:val="clear" w:color="auto" w:fill="auto"/>
            <w:noWrap/>
            <w:tcMar>
              <w:left w:w="28" w:type="dxa"/>
              <w:right w:w="28" w:type="dxa"/>
            </w:tcMar>
            <w:vAlign w:val="bottom"/>
            <w:hideMark/>
          </w:tcPr>
          <w:p w14:paraId="149CBA7D"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( 82.6% )</w:t>
            </w:r>
          </w:p>
        </w:tc>
        <w:tc>
          <w:tcPr>
            <w:tcW w:w="679" w:type="dxa"/>
            <w:tcBorders>
              <w:top w:val="nil"/>
              <w:left w:val="nil"/>
              <w:bottom w:val="nil"/>
              <w:right w:val="nil"/>
            </w:tcBorders>
            <w:shd w:val="clear" w:color="auto" w:fill="auto"/>
            <w:noWrap/>
            <w:tcMar>
              <w:left w:w="28" w:type="dxa"/>
              <w:right w:w="28" w:type="dxa"/>
            </w:tcMar>
            <w:vAlign w:val="bottom"/>
            <w:hideMark/>
          </w:tcPr>
          <w:p w14:paraId="5BAAFE31" w14:textId="77777777" w:rsidR="006F272E" w:rsidRPr="006F272E" w:rsidRDefault="006F272E" w:rsidP="006F272E">
            <w:pPr>
              <w:rPr>
                <w:rFonts w:ascii="Calibri" w:hAnsi="Calibri" w:cs="Calibri"/>
                <w:color w:val="000000"/>
                <w:sz w:val="20"/>
                <w:szCs w:val="22"/>
              </w:rPr>
            </w:pPr>
          </w:p>
        </w:tc>
        <w:tc>
          <w:tcPr>
            <w:tcW w:w="798" w:type="dxa"/>
            <w:tcBorders>
              <w:top w:val="nil"/>
              <w:left w:val="nil"/>
              <w:bottom w:val="nil"/>
              <w:right w:val="nil"/>
            </w:tcBorders>
            <w:shd w:val="clear" w:color="auto" w:fill="auto"/>
            <w:noWrap/>
            <w:tcMar>
              <w:left w:w="28" w:type="dxa"/>
              <w:right w:w="28" w:type="dxa"/>
            </w:tcMar>
            <w:vAlign w:val="bottom"/>
            <w:hideMark/>
          </w:tcPr>
          <w:p w14:paraId="49E671CC" w14:textId="77777777" w:rsidR="006F272E" w:rsidRPr="006F272E" w:rsidRDefault="006F272E" w:rsidP="006F272E">
            <w:pPr>
              <w:jc w:val="center"/>
              <w:rPr>
                <w:sz w:val="20"/>
                <w:szCs w:val="20"/>
              </w:rPr>
            </w:pPr>
          </w:p>
        </w:tc>
      </w:tr>
      <w:tr w:rsidR="006F272E" w:rsidRPr="006F272E" w14:paraId="0BE754FD"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60044D2B"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Male</w:t>
            </w:r>
          </w:p>
        </w:tc>
        <w:tc>
          <w:tcPr>
            <w:tcW w:w="851" w:type="dxa"/>
            <w:tcBorders>
              <w:top w:val="nil"/>
              <w:left w:val="nil"/>
              <w:bottom w:val="nil"/>
              <w:right w:val="nil"/>
            </w:tcBorders>
            <w:vAlign w:val="bottom"/>
          </w:tcPr>
          <w:p w14:paraId="201141FD" w14:textId="3442C9A7" w:rsidR="006F272E" w:rsidRPr="006F272E" w:rsidRDefault="006F272E">
            <w:pPr>
              <w:jc w:val="right"/>
              <w:rPr>
                <w:rFonts w:ascii="Calibri" w:hAnsi="Calibri" w:cs="Calibri"/>
                <w:color w:val="000000"/>
                <w:sz w:val="20"/>
                <w:szCs w:val="22"/>
              </w:rPr>
            </w:pPr>
            <w:r>
              <w:rPr>
                <w:rFonts w:ascii="Calibri" w:hAnsi="Calibri" w:cs="Calibri"/>
                <w:color w:val="000000"/>
                <w:sz w:val="20"/>
                <w:szCs w:val="22"/>
              </w:rPr>
              <w:t>470</w:t>
            </w:r>
          </w:p>
        </w:tc>
        <w:tc>
          <w:tcPr>
            <w:tcW w:w="993" w:type="dxa"/>
            <w:tcBorders>
              <w:top w:val="nil"/>
              <w:left w:val="nil"/>
              <w:bottom w:val="nil"/>
              <w:right w:val="nil"/>
            </w:tcBorders>
            <w:vAlign w:val="bottom"/>
          </w:tcPr>
          <w:p w14:paraId="511D58CE" w14:textId="013ECCA3" w:rsidR="006F272E" w:rsidRPr="006F272E" w:rsidRDefault="006F272E" w:rsidP="000763B1">
            <w:pPr>
              <w:rPr>
                <w:rFonts w:ascii="Calibri" w:hAnsi="Calibri" w:cs="Calibri"/>
                <w:color w:val="000000"/>
                <w:sz w:val="20"/>
                <w:szCs w:val="22"/>
              </w:rPr>
            </w:pPr>
            <w:r>
              <w:rPr>
                <w:rFonts w:ascii="Calibri" w:hAnsi="Calibri" w:cs="Calibri"/>
                <w:color w:val="000000"/>
                <w:sz w:val="20"/>
                <w:szCs w:val="22"/>
              </w:rPr>
              <w:t>( 20.0% )</w:t>
            </w:r>
          </w:p>
        </w:tc>
        <w:tc>
          <w:tcPr>
            <w:tcW w:w="851" w:type="dxa"/>
            <w:tcBorders>
              <w:top w:val="nil"/>
              <w:left w:val="nil"/>
              <w:bottom w:val="nil"/>
              <w:right w:val="nil"/>
            </w:tcBorders>
            <w:shd w:val="clear" w:color="auto" w:fill="auto"/>
            <w:noWrap/>
            <w:tcMar>
              <w:left w:w="28" w:type="dxa"/>
              <w:right w:w="28" w:type="dxa"/>
            </w:tcMar>
            <w:vAlign w:val="bottom"/>
            <w:hideMark/>
          </w:tcPr>
          <w:p w14:paraId="6DE4C521"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248</w:t>
            </w:r>
          </w:p>
        </w:tc>
        <w:tc>
          <w:tcPr>
            <w:tcW w:w="1089" w:type="dxa"/>
            <w:tcBorders>
              <w:top w:val="nil"/>
              <w:left w:val="nil"/>
              <w:bottom w:val="nil"/>
              <w:right w:val="nil"/>
            </w:tcBorders>
            <w:shd w:val="clear" w:color="auto" w:fill="auto"/>
            <w:noWrap/>
            <w:tcMar>
              <w:left w:w="28" w:type="dxa"/>
              <w:right w:w="28" w:type="dxa"/>
            </w:tcMar>
            <w:vAlign w:val="bottom"/>
            <w:hideMark/>
          </w:tcPr>
          <w:p w14:paraId="7C6B6B36"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( 19.9% )</w:t>
            </w:r>
          </w:p>
        </w:tc>
        <w:tc>
          <w:tcPr>
            <w:tcW w:w="705" w:type="dxa"/>
            <w:tcBorders>
              <w:top w:val="nil"/>
              <w:left w:val="nil"/>
              <w:bottom w:val="nil"/>
              <w:right w:val="nil"/>
            </w:tcBorders>
            <w:shd w:val="clear" w:color="auto" w:fill="auto"/>
            <w:noWrap/>
            <w:tcMar>
              <w:left w:w="28" w:type="dxa"/>
              <w:right w:w="28" w:type="dxa"/>
            </w:tcMar>
            <w:vAlign w:val="bottom"/>
            <w:hideMark/>
          </w:tcPr>
          <w:p w14:paraId="3FFCE9EF"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178</w:t>
            </w:r>
          </w:p>
        </w:tc>
        <w:tc>
          <w:tcPr>
            <w:tcW w:w="1064" w:type="dxa"/>
            <w:tcBorders>
              <w:top w:val="nil"/>
              <w:left w:val="nil"/>
              <w:bottom w:val="nil"/>
              <w:right w:val="nil"/>
            </w:tcBorders>
            <w:shd w:val="clear" w:color="auto" w:fill="auto"/>
            <w:noWrap/>
            <w:tcMar>
              <w:left w:w="28" w:type="dxa"/>
              <w:right w:w="28" w:type="dxa"/>
            </w:tcMar>
            <w:vAlign w:val="bottom"/>
            <w:hideMark/>
          </w:tcPr>
          <w:p w14:paraId="64A73E47"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( 20.5% )</w:t>
            </w:r>
          </w:p>
        </w:tc>
        <w:tc>
          <w:tcPr>
            <w:tcW w:w="705" w:type="dxa"/>
            <w:tcBorders>
              <w:top w:val="nil"/>
              <w:left w:val="nil"/>
              <w:bottom w:val="nil"/>
              <w:right w:val="nil"/>
            </w:tcBorders>
            <w:shd w:val="clear" w:color="auto" w:fill="auto"/>
            <w:noWrap/>
            <w:tcMar>
              <w:left w:w="28" w:type="dxa"/>
              <w:right w:w="28" w:type="dxa"/>
            </w:tcMar>
            <w:vAlign w:val="bottom"/>
            <w:hideMark/>
          </w:tcPr>
          <w:p w14:paraId="7F0D1C6E"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44</w:t>
            </w:r>
          </w:p>
        </w:tc>
        <w:tc>
          <w:tcPr>
            <w:tcW w:w="1064" w:type="dxa"/>
            <w:tcBorders>
              <w:top w:val="nil"/>
              <w:left w:val="nil"/>
              <w:bottom w:val="nil"/>
              <w:right w:val="nil"/>
            </w:tcBorders>
            <w:shd w:val="clear" w:color="auto" w:fill="auto"/>
            <w:noWrap/>
            <w:tcMar>
              <w:left w:w="28" w:type="dxa"/>
              <w:right w:w="28" w:type="dxa"/>
            </w:tcMar>
            <w:vAlign w:val="bottom"/>
            <w:hideMark/>
          </w:tcPr>
          <w:p w14:paraId="3508A4B8"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( 17.1% )</w:t>
            </w:r>
          </w:p>
        </w:tc>
        <w:tc>
          <w:tcPr>
            <w:tcW w:w="679" w:type="dxa"/>
            <w:tcBorders>
              <w:top w:val="nil"/>
              <w:left w:val="nil"/>
              <w:bottom w:val="nil"/>
              <w:right w:val="nil"/>
            </w:tcBorders>
            <w:shd w:val="clear" w:color="auto" w:fill="auto"/>
            <w:noWrap/>
            <w:tcMar>
              <w:left w:w="28" w:type="dxa"/>
              <w:right w:w="28" w:type="dxa"/>
            </w:tcMar>
            <w:vAlign w:val="bottom"/>
            <w:hideMark/>
          </w:tcPr>
          <w:p w14:paraId="27A3EAF5" w14:textId="77777777" w:rsidR="006F272E" w:rsidRPr="006F272E" w:rsidRDefault="006F272E" w:rsidP="006F272E">
            <w:pPr>
              <w:rPr>
                <w:rFonts w:ascii="Calibri" w:hAnsi="Calibri" w:cs="Calibri"/>
                <w:color w:val="000000"/>
                <w:sz w:val="20"/>
                <w:szCs w:val="22"/>
              </w:rPr>
            </w:pPr>
          </w:p>
        </w:tc>
        <w:tc>
          <w:tcPr>
            <w:tcW w:w="798" w:type="dxa"/>
            <w:tcBorders>
              <w:top w:val="nil"/>
              <w:left w:val="nil"/>
              <w:bottom w:val="nil"/>
              <w:right w:val="nil"/>
            </w:tcBorders>
            <w:shd w:val="clear" w:color="auto" w:fill="auto"/>
            <w:noWrap/>
            <w:tcMar>
              <w:left w:w="28" w:type="dxa"/>
              <w:right w:w="28" w:type="dxa"/>
            </w:tcMar>
            <w:vAlign w:val="bottom"/>
            <w:hideMark/>
          </w:tcPr>
          <w:p w14:paraId="567970C0" w14:textId="77777777" w:rsidR="006F272E" w:rsidRPr="006F272E" w:rsidRDefault="006F272E" w:rsidP="006F272E">
            <w:pPr>
              <w:jc w:val="center"/>
              <w:rPr>
                <w:sz w:val="20"/>
                <w:szCs w:val="20"/>
              </w:rPr>
            </w:pPr>
          </w:p>
        </w:tc>
      </w:tr>
      <w:tr w:rsidR="006F272E" w:rsidRPr="006F272E" w14:paraId="2B05A4C5"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44B41C37"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Other</w:t>
            </w:r>
          </w:p>
        </w:tc>
        <w:tc>
          <w:tcPr>
            <w:tcW w:w="851" w:type="dxa"/>
            <w:tcBorders>
              <w:top w:val="nil"/>
              <w:left w:val="nil"/>
              <w:bottom w:val="nil"/>
              <w:right w:val="nil"/>
            </w:tcBorders>
            <w:vAlign w:val="bottom"/>
          </w:tcPr>
          <w:p w14:paraId="4CAB4D8F" w14:textId="613D28D5" w:rsidR="006F272E" w:rsidRPr="006F272E" w:rsidRDefault="006F272E">
            <w:pPr>
              <w:jc w:val="right"/>
              <w:rPr>
                <w:rFonts w:ascii="Calibri" w:hAnsi="Calibri" w:cs="Calibri"/>
                <w:color w:val="000000"/>
                <w:sz w:val="20"/>
                <w:szCs w:val="22"/>
              </w:rPr>
            </w:pPr>
            <w:r w:rsidRPr="000763B1">
              <w:rPr>
                <w:rFonts w:ascii="Calibri" w:hAnsi="Calibri" w:cs="Calibri"/>
                <w:color w:val="000000"/>
                <w:sz w:val="20"/>
                <w:szCs w:val="22"/>
              </w:rPr>
              <w:t>36</w:t>
            </w:r>
          </w:p>
        </w:tc>
        <w:tc>
          <w:tcPr>
            <w:tcW w:w="993" w:type="dxa"/>
            <w:tcBorders>
              <w:top w:val="nil"/>
              <w:left w:val="nil"/>
              <w:bottom w:val="nil"/>
              <w:right w:val="nil"/>
            </w:tcBorders>
            <w:vAlign w:val="bottom"/>
          </w:tcPr>
          <w:p w14:paraId="62CB5026" w14:textId="02546640"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( 1.5% )</w:t>
            </w:r>
          </w:p>
        </w:tc>
        <w:tc>
          <w:tcPr>
            <w:tcW w:w="851" w:type="dxa"/>
            <w:tcBorders>
              <w:top w:val="nil"/>
              <w:left w:val="nil"/>
              <w:bottom w:val="nil"/>
              <w:right w:val="nil"/>
            </w:tcBorders>
            <w:shd w:val="clear" w:color="auto" w:fill="auto"/>
            <w:noWrap/>
            <w:tcMar>
              <w:left w:w="28" w:type="dxa"/>
              <w:right w:w="28" w:type="dxa"/>
            </w:tcMar>
            <w:vAlign w:val="bottom"/>
            <w:hideMark/>
          </w:tcPr>
          <w:p w14:paraId="2CCE9C8B"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17</w:t>
            </w:r>
          </w:p>
        </w:tc>
        <w:tc>
          <w:tcPr>
            <w:tcW w:w="1089" w:type="dxa"/>
            <w:tcBorders>
              <w:top w:val="nil"/>
              <w:left w:val="nil"/>
              <w:bottom w:val="nil"/>
              <w:right w:val="nil"/>
            </w:tcBorders>
            <w:shd w:val="clear" w:color="auto" w:fill="auto"/>
            <w:noWrap/>
            <w:tcMar>
              <w:left w:w="28" w:type="dxa"/>
              <w:right w:w="28" w:type="dxa"/>
            </w:tcMar>
            <w:vAlign w:val="bottom"/>
            <w:hideMark/>
          </w:tcPr>
          <w:p w14:paraId="0D585911"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( 1.4% )</w:t>
            </w:r>
          </w:p>
        </w:tc>
        <w:tc>
          <w:tcPr>
            <w:tcW w:w="705" w:type="dxa"/>
            <w:tcBorders>
              <w:top w:val="nil"/>
              <w:left w:val="nil"/>
              <w:bottom w:val="nil"/>
              <w:right w:val="nil"/>
            </w:tcBorders>
            <w:shd w:val="clear" w:color="auto" w:fill="auto"/>
            <w:noWrap/>
            <w:tcMar>
              <w:left w:w="28" w:type="dxa"/>
              <w:right w:w="28" w:type="dxa"/>
            </w:tcMar>
            <w:vAlign w:val="bottom"/>
            <w:hideMark/>
          </w:tcPr>
          <w:p w14:paraId="115D891E"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18</w:t>
            </w:r>
          </w:p>
        </w:tc>
        <w:tc>
          <w:tcPr>
            <w:tcW w:w="1064" w:type="dxa"/>
            <w:tcBorders>
              <w:top w:val="nil"/>
              <w:left w:val="nil"/>
              <w:bottom w:val="nil"/>
              <w:right w:val="nil"/>
            </w:tcBorders>
            <w:shd w:val="clear" w:color="auto" w:fill="auto"/>
            <w:noWrap/>
            <w:tcMar>
              <w:left w:w="28" w:type="dxa"/>
              <w:right w:w="28" w:type="dxa"/>
            </w:tcMar>
            <w:vAlign w:val="bottom"/>
            <w:hideMark/>
          </w:tcPr>
          <w:p w14:paraId="4C61F041"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( 2.1% )</w:t>
            </w:r>
          </w:p>
        </w:tc>
        <w:tc>
          <w:tcPr>
            <w:tcW w:w="705" w:type="dxa"/>
            <w:tcBorders>
              <w:top w:val="nil"/>
              <w:left w:val="nil"/>
              <w:bottom w:val="nil"/>
              <w:right w:val="nil"/>
            </w:tcBorders>
            <w:shd w:val="clear" w:color="auto" w:fill="auto"/>
            <w:noWrap/>
            <w:tcMar>
              <w:left w:w="28" w:type="dxa"/>
              <w:right w:w="28" w:type="dxa"/>
            </w:tcMar>
            <w:vAlign w:val="bottom"/>
            <w:hideMark/>
          </w:tcPr>
          <w:p w14:paraId="644ADBD5"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w:t>
            </w:r>
          </w:p>
        </w:tc>
        <w:tc>
          <w:tcPr>
            <w:tcW w:w="1064" w:type="dxa"/>
            <w:tcBorders>
              <w:top w:val="nil"/>
              <w:left w:val="nil"/>
              <w:bottom w:val="nil"/>
              <w:right w:val="nil"/>
            </w:tcBorders>
            <w:shd w:val="clear" w:color="auto" w:fill="auto"/>
            <w:noWrap/>
            <w:tcMar>
              <w:left w:w="28" w:type="dxa"/>
              <w:right w:w="28" w:type="dxa"/>
            </w:tcMar>
            <w:vAlign w:val="bottom"/>
            <w:hideMark/>
          </w:tcPr>
          <w:p w14:paraId="26E05BA3"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( 0.4% )</w:t>
            </w:r>
          </w:p>
        </w:tc>
        <w:tc>
          <w:tcPr>
            <w:tcW w:w="679" w:type="dxa"/>
            <w:tcBorders>
              <w:top w:val="nil"/>
              <w:left w:val="nil"/>
              <w:bottom w:val="nil"/>
              <w:right w:val="nil"/>
            </w:tcBorders>
            <w:shd w:val="clear" w:color="auto" w:fill="auto"/>
            <w:noWrap/>
            <w:tcMar>
              <w:left w:w="28" w:type="dxa"/>
              <w:right w:w="28" w:type="dxa"/>
            </w:tcMar>
            <w:vAlign w:val="bottom"/>
            <w:hideMark/>
          </w:tcPr>
          <w:p w14:paraId="08284D37" w14:textId="77777777" w:rsidR="006F272E" w:rsidRPr="006F272E" w:rsidRDefault="006F272E" w:rsidP="006F272E">
            <w:pPr>
              <w:rPr>
                <w:rFonts w:ascii="Calibri" w:hAnsi="Calibri" w:cs="Calibri"/>
                <w:color w:val="000000"/>
                <w:sz w:val="20"/>
                <w:szCs w:val="22"/>
              </w:rPr>
            </w:pPr>
          </w:p>
        </w:tc>
        <w:tc>
          <w:tcPr>
            <w:tcW w:w="798" w:type="dxa"/>
            <w:tcBorders>
              <w:top w:val="nil"/>
              <w:left w:val="nil"/>
              <w:bottom w:val="nil"/>
              <w:right w:val="nil"/>
            </w:tcBorders>
            <w:shd w:val="clear" w:color="auto" w:fill="auto"/>
            <w:noWrap/>
            <w:tcMar>
              <w:left w:w="28" w:type="dxa"/>
              <w:right w:w="28" w:type="dxa"/>
            </w:tcMar>
            <w:vAlign w:val="bottom"/>
            <w:hideMark/>
          </w:tcPr>
          <w:p w14:paraId="0D26F806" w14:textId="77777777" w:rsidR="006F272E" w:rsidRPr="006F272E" w:rsidRDefault="006F272E" w:rsidP="006F272E">
            <w:pPr>
              <w:jc w:val="center"/>
              <w:rPr>
                <w:sz w:val="20"/>
                <w:szCs w:val="20"/>
              </w:rPr>
            </w:pPr>
          </w:p>
        </w:tc>
      </w:tr>
      <w:tr w:rsidR="006F272E" w:rsidRPr="006F272E" w14:paraId="06F146AA"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128EE1F3"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Age group</w:t>
            </w:r>
          </w:p>
        </w:tc>
        <w:tc>
          <w:tcPr>
            <w:tcW w:w="851" w:type="dxa"/>
            <w:tcBorders>
              <w:top w:val="nil"/>
              <w:left w:val="nil"/>
              <w:bottom w:val="nil"/>
              <w:right w:val="nil"/>
            </w:tcBorders>
            <w:vAlign w:val="bottom"/>
          </w:tcPr>
          <w:p w14:paraId="0E7EEC97" w14:textId="77777777" w:rsidR="006F272E" w:rsidRPr="006F272E" w:rsidRDefault="006F272E" w:rsidP="000763B1">
            <w:pPr>
              <w:jc w:val="right"/>
              <w:rPr>
                <w:rFonts w:ascii="Calibri" w:hAnsi="Calibri" w:cs="Calibri"/>
                <w:color w:val="000000"/>
                <w:sz w:val="20"/>
                <w:szCs w:val="22"/>
              </w:rPr>
            </w:pPr>
          </w:p>
        </w:tc>
        <w:tc>
          <w:tcPr>
            <w:tcW w:w="993" w:type="dxa"/>
            <w:tcBorders>
              <w:top w:val="nil"/>
              <w:left w:val="nil"/>
              <w:bottom w:val="nil"/>
              <w:right w:val="nil"/>
            </w:tcBorders>
            <w:vAlign w:val="bottom"/>
          </w:tcPr>
          <w:p w14:paraId="36471102" w14:textId="77777777" w:rsidR="006F272E" w:rsidRPr="006F272E" w:rsidRDefault="006F272E">
            <w:pPr>
              <w:rPr>
                <w:rFonts w:ascii="Calibri" w:hAnsi="Calibri" w:cs="Calibri"/>
                <w:color w:val="000000"/>
                <w:sz w:val="20"/>
                <w:szCs w:val="22"/>
              </w:rPr>
            </w:pPr>
          </w:p>
        </w:tc>
        <w:tc>
          <w:tcPr>
            <w:tcW w:w="851" w:type="dxa"/>
            <w:tcBorders>
              <w:top w:val="nil"/>
              <w:left w:val="nil"/>
              <w:bottom w:val="nil"/>
              <w:right w:val="nil"/>
            </w:tcBorders>
            <w:shd w:val="clear" w:color="auto" w:fill="auto"/>
            <w:noWrap/>
            <w:tcMar>
              <w:left w:w="28" w:type="dxa"/>
              <w:right w:w="28" w:type="dxa"/>
            </w:tcMar>
            <w:vAlign w:val="bottom"/>
            <w:hideMark/>
          </w:tcPr>
          <w:p w14:paraId="5F643D63" w14:textId="77777777" w:rsidR="006F272E" w:rsidRPr="006F272E" w:rsidRDefault="006F272E" w:rsidP="006F272E">
            <w:pPr>
              <w:rPr>
                <w:rFonts w:ascii="Calibri" w:hAnsi="Calibri" w:cs="Calibri"/>
                <w:color w:val="000000"/>
                <w:sz w:val="20"/>
                <w:szCs w:val="22"/>
              </w:rPr>
            </w:pPr>
          </w:p>
        </w:tc>
        <w:tc>
          <w:tcPr>
            <w:tcW w:w="1089" w:type="dxa"/>
            <w:tcBorders>
              <w:top w:val="nil"/>
              <w:left w:val="nil"/>
              <w:bottom w:val="nil"/>
              <w:right w:val="nil"/>
            </w:tcBorders>
            <w:shd w:val="clear" w:color="auto" w:fill="auto"/>
            <w:noWrap/>
            <w:tcMar>
              <w:left w:w="28" w:type="dxa"/>
              <w:right w:w="28" w:type="dxa"/>
            </w:tcMar>
            <w:vAlign w:val="bottom"/>
            <w:hideMark/>
          </w:tcPr>
          <w:p w14:paraId="2393D9A1" w14:textId="77777777" w:rsidR="006F272E" w:rsidRPr="006F272E" w:rsidRDefault="006F272E" w:rsidP="006F272E">
            <w:pPr>
              <w:rPr>
                <w:sz w:val="20"/>
                <w:szCs w:val="20"/>
              </w:rPr>
            </w:pPr>
          </w:p>
        </w:tc>
        <w:tc>
          <w:tcPr>
            <w:tcW w:w="705" w:type="dxa"/>
            <w:tcBorders>
              <w:top w:val="nil"/>
              <w:left w:val="nil"/>
              <w:bottom w:val="nil"/>
              <w:right w:val="nil"/>
            </w:tcBorders>
            <w:shd w:val="clear" w:color="auto" w:fill="auto"/>
            <w:noWrap/>
            <w:tcMar>
              <w:left w:w="28" w:type="dxa"/>
              <w:right w:w="28" w:type="dxa"/>
            </w:tcMar>
            <w:vAlign w:val="bottom"/>
            <w:hideMark/>
          </w:tcPr>
          <w:p w14:paraId="7A10C715" w14:textId="77777777" w:rsidR="006F272E" w:rsidRPr="006F272E" w:rsidRDefault="006F272E" w:rsidP="006F272E">
            <w:pPr>
              <w:rPr>
                <w:sz w:val="20"/>
                <w:szCs w:val="20"/>
              </w:rPr>
            </w:pPr>
          </w:p>
        </w:tc>
        <w:tc>
          <w:tcPr>
            <w:tcW w:w="1064" w:type="dxa"/>
            <w:tcBorders>
              <w:top w:val="nil"/>
              <w:left w:val="nil"/>
              <w:bottom w:val="nil"/>
              <w:right w:val="nil"/>
            </w:tcBorders>
            <w:shd w:val="clear" w:color="auto" w:fill="auto"/>
            <w:noWrap/>
            <w:tcMar>
              <w:left w:w="28" w:type="dxa"/>
              <w:right w:w="28" w:type="dxa"/>
            </w:tcMar>
            <w:vAlign w:val="bottom"/>
            <w:hideMark/>
          </w:tcPr>
          <w:p w14:paraId="70B26969" w14:textId="77777777" w:rsidR="006F272E" w:rsidRPr="006F272E" w:rsidRDefault="006F272E" w:rsidP="006F272E">
            <w:pPr>
              <w:rPr>
                <w:sz w:val="20"/>
                <w:szCs w:val="20"/>
              </w:rPr>
            </w:pPr>
          </w:p>
        </w:tc>
        <w:tc>
          <w:tcPr>
            <w:tcW w:w="705" w:type="dxa"/>
            <w:tcBorders>
              <w:top w:val="nil"/>
              <w:left w:val="nil"/>
              <w:bottom w:val="nil"/>
              <w:right w:val="nil"/>
            </w:tcBorders>
            <w:shd w:val="clear" w:color="auto" w:fill="auto"/>
            <w:noWrap/>
            <w:tcMar>
              <w:left w:w="28" w:type="dxa"/>
              <w:right w:w="28" w:type="dxa"/>
            </w:tcMar>
            <w:vAlign w:val="bottom"/>
            <w:hideMark/>
          </w:tcPr>
          <w:p w14:paraId="0782D9DC" w14:textId="77777777" w:rsidR="006F272E" w:rsidRPr="006F272E" w:rsidRDefault="006F272E" w:rsidP="006F272E">
            <w:pPr>
              <w:rPr>
                <w:sz w:val="20"/>
                <w:szCs w:val="20"/>
              </w:rPr>
            </w:pPr>
          </w:p>
        </w:tc>
        <w:tc>
          <w:tcPr>
            <w:tcW w:w="1064" w:type="dxa"/>
            <w:tcBorders>
              <w:top w:val="nil"/>
              <w:left w:val="nil"/>
              <w:bottom w:val="nil"/>
              <w:right w:val="nil"/>
            </w:tcBorders>
            <w:shd w:val="clear" w:color="auto" w:fill="auto"/>
            <w:noWrap/>
            <w:tcMar>
              <w:left w:w="28" w:type="dxa"/>
              <w:right w:w="28" w:type="dxa"/>
            </w:tcMar>
            <w:vAlign w:val="bottom"/>
            <w:hideMark/>
          </w:tcPr>
          <w:p w14:paraId="41EC7203" w14:textId="77777777" w:rsidR="006F272E" w:rsidRPr="006F272E" w:rsidRDefault="006F272E" w:rsidP="006F272E">
            <w:pPr>
              <w:rPr>
                <w:sz w:val="20"/>
                <w:szCs w:val="20"/>
              </w:rPr>
            </w:pPr>
          </w:p>
        </w:tc>
        <w:tc>
          <w:tcPr>
            <w:tcW w:w="679" w:type="dxa"/>
            <w:tcBorders>
              <w:top w:val="nil"/>
              <w:left w:val="nil"/>
              <w:bottom w:val="nil"/>
              <w:right w:val="nil"/>
            </w:tcBorders>
            <w:shd w:val="clear" w:color="auto" w:fill="auto"/>
            <w:noWrap/>
            <w:tcMar>
              <w:left w:w="28" w:type="dxa"/>
              <w:right w:w="28" w:type="dxa"/>
            </w:tcMar>
            <w:vAlign w:val="bottom"/>
            <w:hideMark/>
          </w:tcPr>
          <w:p w14:paraId="26DEB38F"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95.40</w:t>
            </w:r>
          </w:p>
        </w:tc>
        <w:tc>
          <w:tcPr>
            <w:tcW w:w="798" w:type="dxa"/>
            <w:tcBorders>
              <w:top w:val="nil"/>
              <w:left w:val="nil"/>
              <w:bottom w:val="nil"/>
              <w:right w:val="nil"/>
            </w:tcBorders>
            <w:shd w:val="clear" w:color="auto" w:fill="auto"/>
            <w:noWrap/>
            <w:tcMar>
              <w:left w:w="28" w:type="dxa"/>
              <w:right w:w="28" w:type="dxa"/>
            </w:tcMar>
            <w:vAlign w:val="bottom"/>
            <w:hideMark/>
          </w:tcPr>
          <w:p w14:paraId="489B3FF4" w14:textId="77777777" w:rsidR="006F272E" w:rsidRPr="006F272E" w:rsidRDefault="006F272E" w:rsidP="006F272E">
            <w:pPr>
              <w:jc w:val="center"/>
              <w:rPr>
                <w:rFonts w:ascii="Calibri" w:hAnsi="Calibri" w:cs="Calibri"/>
                <w:b/>
                <w:bCs/>
                <w:color w:val="000000"/>
                <w:sz w:val="20"/>
                <w:szCs w:val="22"/>
              </w:rPr>
            </w:pPr>
            <w:r w:rsidRPr="006F272E">
              <w:rPr>
                <w:rFonts w:ascii="Calibri" w:hAnsi="Calibri" w:cs="Calibri"/>
                <w:b/>
                <w:bCs/>
                <w:color w:val="000000"/>
                <w:sz w:val="20"/>
                <w:szCs w:val="22"/>
              </w:rPr>
              <w:t>&lt;0.001</w:t>
            </w:r>
          </w:p>
        </w:tc>
      </w:tr>
      <w:tr w:rsidR="006F272E" w:rsidRPr="006F272E" w14:paraId="4D82D0BA"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7130A51F"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18-35</w:t>
            </w:r>
          </w:p>
        </w:tc>
        <w:tc>
          <w:tcPr>
            <w:tcW w:w="851" w:type="dxa"/>
            <w:tcBorders>
              <w:top w:val="nil"/>
              <w:left w:val="nil"/>
              <w:bottom w:val="nil"/>
              <w:right w:val="nil"/>
            </w:tcBorders>
            <w:vAlign w:val="bottom"/>
          </w:tcPr>
          <w:p w14:paraId="723B8D65" w14:textId="7AE34F48" w:rsidR="006F272E" w:rsidRPr="006F272E" w:rsidRDefault="006F272E">
            <w:pPr>
              <w:jc w:val="right"/>
              <w:rPr>
                <w:rFonts w:ascii="Calibri" w:hAnsi="Calibri" w:cs="Calibri"/>
                <w:color w:val="000000"/>
                <w:sz w:val="20"/>
                <w:szCs w:val="22"/>
              </w:rPr>
            </w:pPr>
            <w:r>
              <w:rPr>
                <w:rFonts w:ascii="Calibri" w:hAnsi="Calibri" w:cs="Calibri"/>
                <w:color w:val="000000"/>
                <w:sz w:val="20"/>
                <w:szCs w:val="22"/>
              </w:rPr>
              <w:t>913</w:t>
            </w:r>
          </w:p>
        </w:tc>
        <w:tc>
          <w:tcPr>
            <w:tcW w:w="993" w:type="dxa"/>
            <w:tcBorders>
              <w:top w:val="nil"/>
              <w:left w:val="nil"/>
              <w:bottom w:val="nil"/>
              <w:right w:val="nil"/>
            </w:tcBorders>
            <w:vAlign w:val="bottom"/>
          </w:tcPr>
          <w:p w14:paraId="71AC54B3" w14:textId="7D657989" w:rsidR="006F272E" w:rsidRPr="006F272E" w:rsidRDefault="006F272E" w:rsidP="000763B1">
            <w:pPr>
              <w:rPr>
                <w:rFonts w:ascii="Calibri" w:hAnsi="Calibri" w:cs="Calibri"/>
                <w:color w:val="000000"/>
                <w:sz w:val="20"/>
                <w:szCs w:val="22"/>
              </w:rPr>
            </w:pPr>
            <w:r>
              <w:rPr>
                <w:rFonts w:ascii="Calibri" w:hAnsi="Calibri" w:cs="Calibri"/>
                <w:color w:val="000000"/>
                <w:sz w:val="20"/>
                <w:szCs w:val="22"/>
              </w:rPr>
              <w:t>( 38.9% )</w:t>
            </w:r>
          </w:p>
        </w:tc>
        <w:tc>
          <w:tcPr>
            <w:tcW w:w="851" w:type="dxa"/>
            <w:tcBorders>
              <w:top w:val="nil"/>
              <w:left w:val="nil"/>
              <w:bottom w:val="nil"/>
              <w:right w:val="nil"/>
            </w:tcBorders>
            <w:shd w:val="clear" w:color="auto" w:fill="auto"/>
            <w:noWrap/>
            <w:tcMar>
              <w:left w:w="28" w:type="dxa"/>
              <w:right w:w="28" w:type="dxa"/>
            </w:tcMar>
            <w:vAlign w:val="bottom"/>
            <w:hideMark/>
          </w:tcPr>
          <w:p w14:paraId="7B3A3E5A"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562</w:t>
            </w:r>
          </w:p>
        </w:tc>
        <w:tc>
          <w:tcPr>
            <w:tcW w:w="1089" w:type="dxa"/>
            <w:tcBorders>
              <w:top w:val="nil"/>
              <w:left w:val="nil"/>
              <w:bottom w:val="nil"/>
              <w:right w:val="nil"/>
            </w:tcBorders>
            <w:shd w:val="clear" w:color="auto" w:fill="auto"/>
            <w:noWrap/>
            <w:tcMar>
              <w:left w:w="28" w:type="dxa"/>
              <w:right w:w="28" w:type="dxa"/>
            </w:tcMar>
            <w:vAlign w:val="bottom"/>
            <w:hideMark/>
          </w:tcPr>
          <w:p w14:paraId="0476EF1F"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( 45.0% )</w:t>
            </w:r>
          </w:p>
        </w:tc>
        <w:tc>
          <w:tcPr>
            <w:tcW w:w="705" w:type="dxa"/>
            <w:tcBorders>
              <w:top w:val="nil"/>
              <w:left w:val="nil"/>
              <w:bottom w:val="nil"/>
              <w:right w:val="nil"/>
            </w:tcBorders>
            <w:shd w:val="clear" w:color="auto" w:fill="auto"/>
            <w:noWrap/>
            <w:tcMar>
              <w:left w:w="28" w:type="dxa"/>
              <w:right w:w="28" w:type="dxa"/>
            </w:tcMar>
            <w:vAlign w:val="bottom"/>
            <w:hideMark/>
          </w:tcPr>
          <w:p w14:paraId="61C02571"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309</w:t>
            </w:r>
          </w:p>
        </w:tc>
        <w:tc>
          <w:tcPr>
            <w:tcW w:w="1064" w:type="dxa"/>
            <w:tcBorders>
              <w:top w:val="nil"/>
              <w:left w:val="nil"/>
              <w:bottom w:val="nil"/>
              <w:right w:val="nil"/>
            </w:tcBorders>
            <w:shd w:val="clear" w:color="auto" w:fill="auto"/>
            <w:noWrap/>
            <w:tcMar>
              <w:left w:w="28" w:type="dxa"/>
              <w:right w:w="28" w:type="dxa"/>
            </w:tcMar>
            <w:vAlign w:val="bottom"/>
            <w:hideMark/>
          </w:tcPr>
          <w:p w14:paraId="23694E33"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( 35.6% )</w:t>
            </w:r>
          </w:p>
        </w:tc>
        <w:tc>
          <w:tcPr>
            <w:tcW w:w="705" w:type="dxa"/>
            <w:tcBorders>
              <w:top w:val="nil"/>
              <w:left w:val="nil"/>
              <w:bottom w:val="nil"/>
              <w:right w:val="nil"/>
            </w:tcBorders>
            <w:shd w:val="clear" w:color="auto" w:fill="auto"/>
            <w:noWrap/>
            <w:tcMar>
              <w:left w:w="28" w:type="dxa"/>
              <w:right w:w="28" w:type="dxa"/>
            </w:tcMar>
            <w:vAlign w:val="bottom"/>
            <w:hideMark/>
          </w:tcPr>
          <w:p w14:paraId="19E9AE75"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42</w:t>
            </w:r>
          </w:p>
        </w:tc>
        <w:tc>
          <w:tcPr>
            <w:tcW w:w="1064" w:type="dxa"/>
            <w:tcBorders>
              <w:top w:val="nil"/>
              <w:left w:val="nil"/>
              <w:bottom w:val="nil"/>
              <w:right w:val="nil"/>
            </w:tcBorders>
            <w:shd w:val="clear" w:color="auto" w:fill="auto"/>
            <w:noWrap/>
            <w:tcMar>
              <w:left w:w="28" w:type="dxa"/>
              <w:right w:w="28" w:type="dxa"/>
            </w:tcMar>
            <w:vAlign w:val="bottom"/>
            <w:hideMark/>
          </w:tcPr>
          <w:p w14:paraId="34D66D43"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( 16.3% )</w:t>
            </w:r>
          </w:p>
        </w:tc>
        <w:tc>
          <w:tcPr>
            <w:tcW w:w="679" w:type="dxa"/>
            <w:tcBorders>
              <w:top w:val="nil"/>
              <w:left w:val="nil"/>
              <w:bottom w:val="nil"/>
              <w:right w:val="nil"/>
            </w:tcBorders>
            <w:shd w:val="clear" w:color="auto" w:fill="auto"/>
            <w:noWrap/>
            <w:tcMar>
              <w:left w:w="28" w:type="dxa"/>
              <w:right w:w="28" w:type="dxa"/>
            </w:tcMar>
            <w:vAlign w:val="bottom"/>
            <w:hideMark/>
          </w:tcPr>
          <w:p w14:paraId="212A6401" w14:textId="77777777" w:rsidR="006F272E" w:rsidRPr="006F272E" w:rsidRDefault="006F272E" w:rsidP="006F272E">
            <w:pPr>
              <w:rPr>
                <w:rFonts w:ascii="Calibri" w:hAnsi="Calibri" w:cs="Calibri"/>
                <w:color w:val="000000"/>
                <w:sz w:val="20"/>
                <w:szCs w:val="22"/>
              </w:rPr>
            </w:pPr>
          </w:p>
        </w:tc>
        <w:tc>
          <w:tcPr>
            <w:tcW w:w="798" w:type="dxa"/>
            <w:tcBorders>
              <w:top w:val="nil"/>
              <w:left w:val="nil"/>
              <w:bottom w:val="nil"/>
              <w:right w:val="nil"/>
            </w:tcBorders>
            <w:shd w:val="clear" w:color="auto" w:fill="auto"/>
            <w:noWrap/>
            <w:tcMar>
              <w:left w:w="28" w:type="dxa"/>
              <w:right w:w="28" w:type="dxa"/>
            </w:tcMar>
            <w:vAlign w:val="bottom"/>
            <w:hideMark/>
          </w:tcPr>
          <w:p w14:paraId="724B4AD5" w14:textId="77777777" w:rsidR="006F272E" w:rsidRPr="006F272E" w:rsidRDefault="006F272E" w:rsidP="006F272E">
            <w:pPr>
              <w:jc w:val="center"/>
              <w:rPr>
                <w:sz w:val="20"/>
                <w:szCs w:val="20"/>
              </w:rPr>
            </w:pPr>
          </w:p>
        </w:tc>
      </w:tr>
      <w:tr w:rsidR="006F272E" w:rsidRPr="006F272E" w14:paraId="7D463E02"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2E8E5972"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36-55</w:t>
            </w:r>
          </w:p>
        </w:tc>
        <w:tc>
          <w:tcPr>
            <w:tcW w:w="851" w:type="dxa"/>
            <w:tcBorders>
              <w:top w:val="nil"/>
              <w:left w:val="nil"/>
              <w:bottom w:val="nil"/>
              <w:right w:val="nil"/>
            </w:tcBorders>
            <w:vAlign w:val="bottom"/>
          </w:tcPr>
          <w:p w14:paraId="260A3724" w14:textId="38F481C5" w:rsidR="006F272E" w:rsidRPr="006F272E" w:rsidRDefault="006F272E">
            <w:pPr>
              <w:jc w:val="right"/>
              <w:rPr>
                <w:rFonts w:ascii="Calibri" w:hAnsi="Calibri" w:cs="Calibri"/>
                <w:color w:val="000000"/>
                <w:sz w:val="20"/>
                <w:szCs w:val="22"/>
              </w:rPr>
            </w:pPr>
            <w:r w:rsidRPr="000763B1">
              <w:rPr>
                <w:rFonts w:ascii="Calibri" w:hAnsi="Calibri" w:cs="Calibri"/>
                <w:color w:val="000000"/>
                <w:sz w:val="20"/>
                <w:szCs w:val="22"/>
              </w:rPr>
              <w:t>878</w:t>
            </w:r>
          </w:p>
        </w:tc>
        <w:tc>
          <w:tcPr>
            <w:tcW w:w="993" w:type="dxa"/>
            <w:tcBorders>
              <w:top w:val="nil"/>
              <w:left w:val="nil"/>
              <w:bottom w:val="nil"/>
              <w:right w:val="nil"/>
            </w:tcBorders>
            <w:vAlign w:val="bottom"/>
          </w:tcPr>
          <w:p w14:paraId="70F239EA" w14:textId="172325EE"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( 37.4% )</w:t>
            </w:r>
          </w:p>
        </w:tc>
        <w:tc>
          <w:tcPr>
            <w:tcW w:w="851" w:type="dxa"/>
            <w:tcBorders>
              <w:top w:val="nil"/>
              <w:left w:val="nil"/>
              <w:bottom w:val="nil"/>
              <w:right w:val="nil"/>
            </w:tcBorders>
            <w:shd w:val="clear" w:color="auto" w:fill="auto"/>
            <w:noWrap/>
            <w:tcMar>
              <w:left w:w="28" w:type="dxa"/>
              <w:right w:w="28" w:type="dxa"/>
            </w:tcMar>
            <w:vAlign w:val="bottom"/>
            <w:hideMark/>
          </w:tcPr>
          <w:p w14:paraId="17A4BE0C"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450</w:t>
            </w:r>
          </w:p>
        </w:tc>
        <w:tc>
          <w:tcPr>
            <w:tcW w:w="1089" w:type="dxa"/>
            <w:tcBorders>
              <w:top w:val="nil"/>
              <w:left w:val="nil"/>
              <w:bottom w:val="nil"/>
              <w:right w:val="nil"/>
            </w:tcBorders>
            <w:shd w:val="clear" w:color="auto" w:fill="auto"/>
            <w:noWrap/>
            <w:tcMar>
              <w:left w:w="28" w:type="dxa"/>
              <w:right w:w="28" w:type="dxa"/>
            </w:tcMar>
            <w:vAlign w:val="bottom"/>
            <w:hideMark/>
          </w:tcPr>
          <w:p w14:paraId="261B858A"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( 36.0% )</w:t>
            </w:r>
          </w:p>
        </w:tc>
        <w:tc>
          <w:tcPr>
            <w:tcW w:w="705" w:type="dxa"/>
            <w:tcBorders>
              <w:top w:val="nil"/>
              <w:left w:val="nil"/>
              <w:bottom w:val="nil"/>
              <w:right w:val="nil"/>
            </w:tcBorders>
            <w:shd w:val="clear" w:color="auto" w:fill="auto"/>
            <w:noWrap/>
            <w:tcMar>
              <w:left w:w="28" w:type="dxa"/>
              <w:right w:w="28" w:type="dxa"/>
            </w:tcMar>
            <w:vAlign w:val="bottom"/>
            <w:hideMark/>
          </w:tcPr>
          <w:p w14:paraId="08DEB4EF"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306</w:t>
            </w:r>
          </w:p>
        </w:tc>
        <w:tc>
          <w:tcPr>
            <w:tcW w:w="1064" w:type="dxa"/>
            <w:tcBorders>
              <w:top w:val="nil"/>
              <w:left w:val="nil"/>
              <w:bottom w:val="nil"/>
              <w:right w:val="nil"/>
            </w:tcBorders>
            <w:shd w:val="clear" w:color="auto" w:fill="auto"/>
            <w:noWrap/>
            <w:tcMar>
              <w:left w:w="28" w:type="dxa"/>
              <w:right w:w="28" w:type="dxa"/>
            </w:tcMar>
            <w:vAlign w:val="bottom"/>
            <w:hideMark/>
          </w:tcPr>
          <w:p w14:paraId="62CFF855"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( 35.3% )</w:t>
            </w:r>
          </w:p>
        </w:tc>
        <w:tc>
          <w:tcPr>
            <w:tcW w:w="705" w:type="dxa"/>
            <w:tcBorders>
              <w:top w:val="nil"/>
              <w:left w:val="nil"/>
              <w:bottom w:val="nil"/>
              <w:right w:val="nil"/>
            </w:tcBorders>
            <w:shd w:val="clear" w:color="auto" w:fill="auto"/>
            <w:noWrap/>
            <w:tcMar>
              <w:left w:w="28" w:type="dxa"/>
              <w:right w:w="28" w:type="dxa"/>
            </w:tcMar>
            <w:vAlign w:val="bottom"/>
            <w:hideMark/>
          </w:tcPr>
          <w:p w14:paraId="5F76C7F8"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122</w:t>
            </w:r>
          </w:p>
        </w:tc>
        <w:tc>
          <w:tcPr>
            <w:tcW w:w="1064" w:type="dxa"/>
            <w:tcBorders>
              <w:top w:val="nil"/>
              <w:left w:val="nil"/>
              <w:bottom w:val="nil"/>
              <w:right w:val="nil"/>
            </w:tcBorders>
            <w:shd w:val="clear" w:color="auto" w:fill="auto"/>
            <w:noWrap/>
            <w:tcMar>
              <w:left w:w="28" w:type="dxa"/>
              <w:right w:w="28" w:type="dxa"/>
            </w:tcMar>
            <w:vAlign w:val="bottom"/>
            <w:hideMark/>
          </w:tcPr>
          <w:p w14:paraId="6AE24EEE"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( 47.3% )</w:t>
            </w:r>
          </w:p>
        </w:tc>
        <w:tc>
          <w:tcPr>
            <w:tcW w:w="679" w:type="dxa"/>
            <w:tcBorders>
              <w:top w:val="nil"/>
              <w:left w:val="nil"/>
              <w:bottom w:val="nil"/>
              <w:right w:val="nil"/>
            </w:tcBorders>
            <w:shd w:val="clear" w:color="auto" w:fill="auto"/>
            <w:noWrap/>
            <w:tcMar>
              <w:left w:w="28" w:type="dxa"/>
              <w:right w:w="28" w:type="dxa"/>
            </w:tcMar>
            <w:vAlign w:val="bottom"/>
            <w:hideMark/>
          </w:tcPr>
          <w:p w14:paraId="06FAF880" w14:textId="77777777" w:rsidR="006F272E" w:rsidRPr="006F272E" w:rsidRDefault="006F272E" w:rsidP="006F272E">
            <w:pPr>
              <w:rPr>
                <w:rFonts w:ascii="Calibri" w:hAnsi="Calibri" w:cs="Calibri"/>
                <w:color w:val="000000"/>
                <w:sz w:val="20"/>
                <w:szCs w:val="22"/>
              </w:rPr>
            </w:pPr>
          </w:p>
        </w:tc>
        <w:tc>
          <w:tcPr>
            <w:tcW w:w="798" w:type="dxa"/>
            <w:tcBorders>
              <w:top w:val="nil"/>
              <w:left w:val="nil"/>
              <w:bottom w:val="nil"/>
              <w:right w:val="nil"/>
            </w:tcBorders>
            <w:shd w:val="clear" w:color="auto" w:fill="auto"/>
            <w:noWrap/>
            <w:tcMar>
              <w:left w:w="28" w:type="dxa"/>
              <w:right w:w="28" w:type="dxa"/>
            </w:tcMar>
            <w:vAlign w:val="bottom"/>
            <w:hideMark/>
          </w:tcPr>
          <w:p w14:paraId="651BF9AD" w14:textId="77777777" w:rsidR="006F272E" w:rsidRPr="006F272E" w:rsidRDefault="006F272E" w:rsidP="006F272E">
            <w:pPr>
              <w:jc w:val="center"/>
              <w:rPr>
                <w:sz w:val="20"/>
                <w:szCs w:val="20"/>
              </w:rPr>
            </w:pPr>
          </w:p>
        </w:tc>
      </w:tr>
      <w:tr w:rsidR="006F272E" w:rsidRPr="006F272E" w14:paraId="3471E6D6"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0AC5BC9B"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56+</w:t>
            </w:r>
          </w:p>
        </w:tc>
        <w:tc>
          <w:tcPr>
            <w:tcW w:w="851" w:type="dxa"/>
            <w:tcBorders>
              <w:top w:val="nil"/>
              <w:left w:val="nil"/>
              <w:bottom w:val="nil"/>
              <w:right w:val="nil"/>
            </w:tcBorders>
            <w:vAlign w:val="bottom"/>
          </w:tcPr>
          <w:p w14:paraId="5EE12CBF" w14:textId="3A72DA40" w:rsidR="006F272E" w:rsidRPr="006F272E" w:rsidRDefault="006F272E">
            <w:pPr>
              <w:jc w:val="right"/>
              <w:rPr>
                <w:rFonts w:ascii="Calibri" w:hAnsi="Calibri" w:cs="Calibri"/>
                <w:color w:val="000000"/>
                <w:sz w:val="20"/>
                <w:szCs w:val="22"/>
              </w:rPr>
            </w:pPr>
            <w:r w:rsidRPr="000763B1">
              <w:rPr>
                <w:rFonts w:ascii="Calibri" w:hAnsi="Calibri" w:cs="Calibri"/>
                <w:color w:val="000000"/>
                <w:sz w:val="20"/>
                <w:szCs w:val="22"/>
              </w:rPr>
              <w:t>582</w:t>
            </w:r>
          </w:p>
        </w:tc>
        <w:tc>
          <w:tcPr>
            <w:tcW w:w="993" w:type="dxa"/>
            <w:tcBorders>
              <w:top w:val="nil"/>
              <w:left w:val="nil"/>
              <w:bottom w:val="nil"/>
              <w:right w:val="nil"/>
            </w:tcBorders>
            <w:vAlign w:val="bottom"/>
          </w:tcPr>
          <w:p w14:paraId="7F7E7C31" w14:textId="632BAB54"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( 24.8% )</w:t>
            </w:r>
          </w:p>
        </w:tc>
        <w:tc>
          <w:tcPr>
            <w:tcW w:w="851" w:type="dxa"/>
            <w:tcBorders>
              <w:top w:val="nil"/>
              <w:left w:val="nil"/>
              <w:bottom w:val="nil"/>
              <w:right w:val="nil"/>
            </w:tcBorders>
            <w:shd w:val="clear" w:color="auto" w:fill="auto"/>
            <w:noWrap/>
            <w:tcMar>
              <w:left w:w="28" w:type="dxa"/>
              <w:right w:w="28" w:type="dxa"/>
            </w:tcMar>
            <w:vAlign w:val="bottom"/>
            <w:hideMark/>
          </w:tcPr>
          <w:p w14:paraId="326F57B7"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236</w:t>
            </w:r>
          </w:p>
        </w:tc>
        <w:tc>
          <w:tcPr>
            <w:tcW w:w="1089" w:type="dxa"/>
            <w:tcBorders>
              <w:top w:val="nil"/>
              <w:left w:val="nil"/>
              <w:bottom w:val="nil"/>
              <w:right w:val="nil"/>
            </w:tcBorders>
            <w:shd w:val="clear" w:color="auto" w:fill="auto"/>
            <w:noWrap/>
            <w:tcMar>
              <w:left w:w="28" w:type="dxa"/>
              <w:right w:w="28" w:type="dxa"/>
            </w:tcMar>
            <w:vAlign w:val="bottom"/>
            <w:hideMark/>
          </w:tcPr>
          <w:p w14:paraId="7484E151"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( 18.9% )</w:t>
            </w:r>
          </w:p>
        </w:tc>
        <w:tc>
          <w:tcPr>
            <w:tcW w:w="705" w:type="dxa"/>
            <w:tcBorders>
              <w:top w:val="nil"/>
              <w:left w:val="nil"/>
              <w:bottom w:val="nil"/>
              <w:right w:val="nil"/>
            </w:tcBorders>
            <w:shd w:val="clear" w:color="auto" w:fill="auto"/>
            <w:noWrap/>
            <w:tcMar>
              <w:left w:w="28" w:type="dxa"/>
              <w:right w:w="28" w:type="dxa"/>
            </w:tcMar>
            <w:vAlign w:val="bottom"/>
            <w:hideMark/>
          </w:tcPr>
          <w:p w14:paraId="28C4D876"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252</w:t>
            </w:r>
          </w:p>
        </w:tc>
        <w:tc>
          <w:tcPr>
            <w:tcW w:w="1064" w:type="dxa"/>
            <w:tcBorders>
              <w:top w:val="nil"/>
              <w:left w:val="nil"/>
              <w:bottom w:val="nil"/>
              <w:right w:val="nil"/>
            </w:tcBorders>
            <w:shd w:val="clear" w:color="auto" w:fill="auto"/>
            <w:noWrap/>
            <w:tcMar>
              <w:left w:w="28" w:type="dxa"/>
              <w:right w:w="28" w:type="dxa"/>
            </w:tcMar>
            <w:vAlign w:val="bottom"/>
            <w:hideMark/>
          </w:tcPr>
          <w:p w14:paraId="22B10069"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( 29.1% )</w:t>
            </w:r>
          </w:p>
        </w:tc>
        <w:tc>
          <w:tcPr>
            <w:tcW w:w="705" w:type="dxa"/>
            <w:tcBorders>
              <w:top w:val="nil"/>
              <w:left w:val="nil"/>
              <w:bottom w:val="nil"/>
              <w:right w:val="nil"/>
            </w:tcBorders>
            <w:shd w:val="clear" w:color="auto" w:fill="auto"/>
            <w:noWrap/>
            <w:tcMar>
              <w:left w:w="28" w:type="dxa"/>
              <w:right w:w="28" w:type="dxa"/>
            </w:tcMar>
            <w:vAlign w:val="bottom"/>
            <w:hideMark/>
          </w:tcPr>
          <w:p w14:paraId="7B6971F1"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94</w:t>
            </w:r>
          </w:p>
        </w:tc>
        <w:tc>
          <w:tcPr>
            <w:tcW w:w="1064" w:type="dxa"/>
            <w:tcBorders>
              <w:top w:val="nil"/>
              <w:left w:val="nil"/>
              <w:bottom w:val="nil"/>
              <w:right w:val="nil"/>
            </w:tcBorders>
            <w:shd w:val="clear" w:color="auto" w:fill="auto"/>
            <w:noWrap/>
            <w:tcMar>
              <w:left w:w="28" w:type="dxa"/>
              <w:right w:w="28" w:type="dxa"/>
            </w:tcMar>
            <w:vAlign w:val="bottom"/>
            <w:hideMark/>
          </w:tcPr>
          <w:p w14:paraId="1745146D"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( 36.4% )</w:t>
            </w:r>
          </w:p>
        </w:tc>
        <w:tc>
          <w:tcPr>
            <w:tcW w:w="679" w:type="dxa"/>
            <w:tcBorders>
              <w:top w:val="nil"/>
              <w:left w:val="nil"/>
              <w:bottom w:val="nil"/>
              <w:right w:val="nil"/>
            </w:tcBorders>
            <w:shd w:val="clear" w:color="auto" w:fill="auto"/>
            <w:noWrap/>
            <w:tcMar>
              <w:left w:w="28" w:type="dxa"/>
              <w:right w:w="28" w:type="dxa"/>
            </w:tcMar>
            <w:vAlign w:val="bottom"/>
            <w:hideMark/>
          </w:tcPr>
          <w:p w14:paraId="502D6666" w14:textId="77777777" w:rsidR="006F272E" w:rsidRPr="006F272E" w:rsidRDefault="006F272E" w:rsidP="006F272E">
            <w:pPr>
              <w:rPr>
                <w:rFonts w:ascii="Calibri" w:hAnsi="Calibri" w:cs="Calibri"/>
                <w:color w:val="000000"/>
                <w:sz w:val="20"/>
                <w:szCs w:val="22"/>
              </w:rPr>
            </w:pPr>
          </w:p>
        </w:tc>
        <w:tc>
          <w:tcPr>
            <w:tcW w:w="798" w:type="dxa"/>
            <w:tcBorders>
              <w:top w:val="nil"/>
              <w:left w:val="nil"/>
              <w:bottom w:val="nil"/>
              <w:right w:val="nil"/>
            </w:tcBorders>
            <w:shd w:val="clear" w:color="auto" w:fill="auto"/>
            <w:noWrap/>
            <w:tcMar>
              <w:left w:w="28" w:type="dxa"/>
              <w:right w:w="28" w:type="dxa"/>
            </w:tcMar>
            <w:vAlign w:val="bottom"/>
            <w:hideMark/>
          </w:tcPr>
          <w:p w14:paraId="78BE37DC" w14:textId="77777777" w:rsidR="006F272E" w:rsidRPr="006F272E" w:rsidRDefault="006F272E" w:rsidP="006F272E">
            <w:pPr>
              <w:jc w:val="center"/>
              <w:rPr>
                <w:sz w:val="20"/>
                <w:szCs w:val="20"/>
              </w:rPr>
            </w:pPr>
          </w:p>
        </w:tc>
      </w:tr>
      <w:tr w:rsidR="006F272E" w:rsidRPr="006F272E" w14:paraId="37CA612A"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10B17996"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Current clinical caseness</w:t>
            </w:r>
          </w:p>
        </w:tc>
        <w:tc>
          <w:tcPr>
            <w:tcW w:w="851" w:type="dxa"/>
            <w:tcBorders>
              <w:top w:val="nil"/>
              <w:left w:val="nil"/>
              <w:bottom w:val="nil"/>
              <w:right w:val="nil"/>
            </w:tcBorders>
            <w:vAlign w:val="bottom"/>
          </w:tcPr>
          <w:p w14:paraId="03921ACE" w14:textId="77777777" w:rsidR="006F272E" w:rsidRPr="006F272E" w:rsidRDefault="006F272E" w:rsidP="000763B1">
            <w:pPr>
              <w:jc w:val="right"/>
              <w:rPr>
                <w:rFonts w:ascii="Calibri" w:hAnsi="Calibri" w:cs="Calibri"/>
                <w:color w:val="000000"/>
                <w:sz w:val="20"/>
                <w:szCs w:val="22"/>
              </w:rPr>
            </w:pPr>
          </w:p>
        </w:tc>
        <w:tc>
          <w:tcPr>
            <w:tcW w:w="993" w:type="dxa"/>
            <w:tcBorders>
              <w:top w:val="nil"/>
              <w:left w:val="nil"/>
              <w:bottom w:val="nil"/>
              <w:right w:val="nil"/>
            </w:tcBorders>
            <w:vAlign w:val="bottom"/>
          </w:tcPr>
          <w:p w14:paraId="171B03DD" w14:textId="77777777" w:rsidR="006F272E" w:rsidRPr="006F272E" w:rsidRDefault="006F272E">
            <w:pPr>
              <w:rPr>
                <w:rFonts w:ascii="Calibri" w:hAnsi="Calibri" w:cs="Calibri"/>
                <w:color w:val="000000"/>
                <w:sz w:val="20"/>
                <w:szCs w:val="22"/>
              </w:rPr>
            </w:pPr>
          </w:p>
        </w:tc>
        <w:tc>
          <w:tcPr>
            <w:tcW w:w="851" w:type="dxa"/>
            <w:tcBorders>
              <w:top w:val="nil"/>
              <w:left w:val="nil"/>
              <w:bottom w:val="nil"/>
              <w:right w:val="nil"/>
            </w:tcBorders>
            <w:shd w:val="clear" w:color="auto" w:fill="auto"/>
            <w:noWrap/>
            <w:tcMar>
              <w:left w:w="28" w:type="dxa"/>
              <w:right w:w="28" w:type="dxa"/>
            </w:tcMar>
            <w:vAlign w:val="bottom"/>
            <w:hideMark/>
          </w:tcPr>
          <w:p w14:paraId="02700384" w14:textId="77777777" w:rsidR="006F272E" w:rsidRPr="006F272E" w:rsidRDefault="006F272E" w:rsidP="006F272E">
            <w:pPr>
              <w:rPr>
                <w:rFonts w:ascii="Calibri" w:hAnsi="Calibri" w:cs="Calibri"/>
                <w:color w:val="000000"/>
                <w:sz w:val="20"/>
                <w:szCs w:val="22"/>
              </w:rPr>
            </w:pPr>
          </w:p>
        </w:tc>
        <w:tc>
          <w:tcPr>
            <w:tcW w:w="1089" w:type="dxa"/>
            <w:tcBorders>
              <w:top w:val="nil"/>
              <w:left w:val="nil"/>
              <w:bottom w:val="nil"/>
              <w:right w:val="nil"/>
            </w:tcBorders>
            <w:shd w:val="clear" w:color="auto" w:fill="auto"/>
            <w:noWrap/>
            <w:tcMar>
              <w:left w:w="28" w:type="dxa"/>
              <w:right w:w="28" w:type="dxa"/>
            </w:tcMar>
            <w:vAlign w:val="bottom"/>
            <w:hideMark/>
          </w:tcPr>
          <w:p w14:paraId="1E438458" w14:textId="77777777" w:rsidR="006F272E" w:rsidRPr="006F272E" w:rsidRDefault="006F272E" w:rsidP="006F272E">
            <w:pPr>
              <w:rPr>
                <w:sz w:val="20"/>
                <w:szCs w:val="20"/>
              </w:rPr>
            </w:pPr>
          </w:p>
        </w:tc>
        <w:tc>
          <w:tcPr>
            <w:tcW w:w="705" w:type="dxa"/>
            <w:tcBorders>
              <w:top w:val="nil"/>
              <w:left w:val="nil"/>
              <w:bottom w:val="nil"/>
              <w:right w:val="nil"/>
            </w:tcBorders>
            <w:shd w:val="clear" w:color="auto" w:fill="auto"/>
            <w:noWrap/>
            <w:tcMar>
              <w:left w:w="28" w:type="dxa"/>
              <w:right w:w="28" w:type="dxa"/>
            </w:tcMar>
            <w:vAlign w:val="bottom"/>
            <w:hideMark/>
          </w:tcPr>
          <w:p w14:paraId="1F38EFF3" w14:textId="77777777" w:rsidR="006F272E" w:rsidRPr="006F272E" w:rsidRDefault="006F272E" w:rsidP="006F272E">
            <w:pPr>
              <w:rPr>
                <w:sz w:val="20"/>
                <w:szCs w:val="20"/>
              </w:rPr>
            </w:pPr>
          </w:p>
        </w:tc>
        <w:tc>
          <w:tcPr>
            <w:tcW w:w="1064" w:type="dxa"/>
            <w:tcBorders>
              <w:top w:val="nil"/>
              <w:left w:val="nil"/>
              <w:bottom w:val="nil"/>
              <w:right w:val="nil"/>
            </w:tcBorders>
            <w:shd w:val="clear" w:color="auto" w:fill="auto"/>
            <w:noWrap/>
            <w:tcMar>
              <w:left w:w="28" w:type="dxa"/>
              <w:right w:w="28" w:type="dxa"/>
            </w:tcMar>
            <w:vAlign w:val="bottom"/>
            <w:hideMark/>
          </w:tcPr>
          <w:p w14:paraId="665A0ECC" w14:textId="77777777" w:rsidR="006F272E" w:rsidRPr="006F272E" w:rsidRDefault="006F272E" w:rsidP="006F272E">
            <w:pPr>
              <w:rPr>
                <w:sz w:val="20"/>
                <w:szCs w:val="20"/>
              </w:rPr>
            </w:pPr>
          </w:p>
        </w:tc>
        <w:tc>
          <w:tcPr>
            <w:tcW w:w="705" w:type="dxa"/>
            <w:tcBorders>
              <w:top w:val="nil"/>
              <w:left w:val="nil"/>
              <w:bottom w:val="nil"/>
              <w:right w:val="nil"/>
            </w:tcBorders>
            <w:shd w:val="clear" w:color="auto" w:fill="auto"/>
            <w:noWrap/>
            <w:tcMar>
              <w:left w:w="28" w:type="dxa"/>
              <w:right w:w="28" w:type="dxa"/>
            </w:tcMar>
            <w:vAlign w:val="bottom"/>
            <w:hideMark/>
          </w:tcPr>
          <w:p w14:paraId="27F699ED" w14:textId="77777777" w:rsidR="006F272E" w:rsidRPr="006F272E" w:rsidRDefault="006F272E" w:rsidP="006F272E">
            <w:pPr>
              <w:rPr>
                <w:sz w:val="20"/>
                <w:szCs w:val="20"/>
              </w:rPr>
            </w:pPr>
          </w:p>
        </w:tc>
        <w:tc>
          <w:tcPr>
            <w:tcW w:w="1064" w:type="dxa"/>
            <w:tcBorders>
              <w:top w:val="nil"/>
              <w:left w:val="nil"/>
              <w:bottom w:val="nil"/>
              <w:right w:val="nil"/>
            </w:tcBorders>
            <w:shd w:val="clear" w:color="auto" w:fill="auto"/>
            <w:noWrap/>
            <w:tcMar>
              <w:left w:w="28" w:type="dxa"/>
              <w:right w:w="28" w:type="dxa"/>
            </w:tcMar>
            <w:vAlign w:val="bottom"/>
            <w:hideMark/>
          </w:tcPr>
          <w:p w14:paraId="3A7BEF91" w14:textId="77777777" w:rsidR="006F272E" w:rsidRPr="006F272E" w:rsidRDefault="006F272E" w:rsidP="006F272E">
            <w:pPr>
              <w:rPr>
                <w:sz w:val="20"/>
                <w:szCs w:val="20"/>
              </w:rPr>
            </w:pPr>
          </w:p>
        </w:tc>
        <w:tc>
          <w:tcPr>
            <w:tcW w:w="679" w:type="dxa"/>
            <w:tcBorders>
              <w:top w:val="nil"/>
              <w:left w:val="nil"/>
              <w:bottom w:val="nil"/>
              <w:right w:val="nil"/>
            </w:tcBorders>
            <w:shd w:val="clear" w:color="auto" w:fill="auto"/>
            <w:noWrap/>
            <w:tcMar>
              <w:left w:w="28" w:type="dxa"/>
              <w:right w:w="28" w:type="dxa"/>
            </w:tcMar>
            <w:vAlign w:val="bottom"/>
            <w:hideMark/>
          </w:tcPr>
          <w:p w14:paraId="3FA258AE" w14:textId="77777777" w:rsidR="006F272E" w:rsidRPr="006F272E" w:rsidRDefault="006F272E" w:rsidP="006F272E">
            <w:pPr>
              <w:rPr>
                <w:sz w:val="20"/>
                <w:szCs w:val="20"/>
              </w:rPr>
            </w:pPr>
          </w:p>
        </w:tc>
        <w:tc>
          <w:tcPr>
            <w:tcW w:w="798" w:type="dxa"/>
            <w:tcBorders>
              <w:top w:val="nil"/>
              <w:left w:val="nil"/>
              <w:bottom w:val="nil"/>
              <w:right w:val="nil"/>
            </w:tcBorders>
            <w:shd w:val="clear" w:color="auto" w:fill="auto"/>
            <w:noWrap/>
            <w:tcMar>
              <w:left w:w="28" w:type="dxa"/>
              <w:right w:w="28" w:type="dxa"/>
            </w:tcMar>
            <w:vAlign w:val="bottom"/>
            <w:hideMark/>
          </w:tcPr>
          <w:p w14:paraId="5230DE3B" w14:textId="77777777" w:rsidR="006F272E" w:rsidRPr="006F272E" w:rsidRDefault="006F272E" w:rsidP="006F272E">
            <w:pPr>
              <w:jc w:val="center"/>
              <w:rPr>
                <w:sz w:val="20"/>
                <w:szCs w:val="20"/>
              </w:rPr>
            </w:pPr>
          </w:p>
        </w:tc>
      </w:tr>
      <w:tr w:rsidR="006F272E" w:rsidRPr="006F272E" w14:paraId="5E1D497F"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69FE5907"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Depression</w:t>
            </w:r>
          </w:p>
        </w:tc>
        <w:tc>
          <w:tcPr>
            <w:tcW w:w="851" w:type="dxa"/>
            <w:tcBorders>
              <w:top w:val="nil"/>
              <w:left w:val="nil"/>
              <w:bottom w:val="nil"/>
              <w:right w:val="nil"/>
            </w:tcBorders>
            <w:vAlign w:val="bottom"/>
          </w:tcPr>
          <w:p w14:paraId="5DAA5A67" w14:textId="1D58ACCE" w:rsidR="006F272E" w:rsidRPr="006F272E" w:rsidRDefault="006F272E">
            <w:pPr>
              <w:jc w:val="right"/>
              <w:rPr>
                <w:rFonts w:ascii="Calibri" w:hAnsi="Calibri" w:cs="Calibri"/>
                <w:color w:val="000000"/>
                <w:sz w:val="20"/>
                <w:szCs w:val="22"/>
              </w:rPr>
            </w:pPr>
            <w:r>
              <w:rPr>
                <w:rFonts w:ascii="Calibri" w:hAnsi="Calibri" w:cs="Calibri"/>
                <w:color w:val="000000"/>
                <w:sz w:val="20"/>
                <w:szCs w:val="22"/>
              </w:rPr>
              <w:t>309</w:t>
            </w:r>
          </w:p>
        </w:tc>
        <w:tc>
          <w:tcPr>
            <w:tcW w:w="993" w:type="dxa"/>
            <w:tcBorders>
              <w:top w:val="nil"/>
              <w:left w:val="nil"/>
              <w:bottom w:val="nil"/>
              <w:right w:val="nil"/>
            </w:tcBorders>
            <w:vAlign w:val="bottom"/>
          </w:tcPr>
          <w:p w14:paraId="6B5AFABB" w14:textId="6DEA14E7" w:rsidR="006F272E" w:rsidRPr="006F272E" w:rsidRDefault="006F272E" w:rsidP="000763B1">
            <w:pPr>
              <w:rPr>
                <w:rFonts w:ascii="Calibri" w:hAnsi="Calibri" w:cs="Calibri"/>
                <w:color w:val="000000"/>
                <w:sz w:val="20"/>
                <w:szCs w:val="22"/>
              </w:rPr>
            </w:pPr>
            <w:r>
              <w:rPr>
                <w:rFonts w:ascii="Calibri" w:hAnsi="Calibri" w:cs="Calibri"/>
                <w:color w:val="000000"/>
                <w:sz w:val="20"/>
                <w:szCs w:val="22"/>
              </w:rPr>
              <w:t>( 13.2% )</w:t>
            </w:r>
          </w:p>
        </w:tc>
        <w:tc>
          <w:tcPr>
            <w:tcW w:w="851" w:type="dxa"/>
            <w:tcBorders>
              <w:top w:val="nil"/>
              <w:left w:val="nil"/>
              <w:bottom w:val="nil"/>
              <w:right w:val="nil"/>
            </w:tcBorders>
            <w:shd w:val="clear" w:color="auto" w:fill="auto"/>
            <w:noWrap/>
            <w:tcMar>
              <w:left w:w="28" w:type="dxa"/>
              <w:right w:w="28" w:type="dxa"/>
            </w:tcMar>
            <w:vAlign w:val="bottom"/>
            <w:hideMark/>
          </w:tcPr>
          <w:p w14:paraId="1C51C58E"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159</w:t>
            </w:r>
          </w:p>
        </w:tc>
        <w:tc>
          <w:tcPr>
            <w:tcW w:w="1089" w:type="dxa"/>
            <w:tcBorders>
              <w:top w:val="nil"/>
              <w:left w:val="nil"/>
              <w:bottom w:val="nil"/>
              <w:right w:val="nil"/>
            </w:tcBorders>
            <w:shd w:val="clear" w:color="auto" w:fill="auto"/>
            <w:noWrap/>
            <w:tcMar>
              <w:left w:w="28" w:type="dxa"/>
              <w:right w:w="28" w:type="dxa"/>
            </w:tcMar>
            <w:vAlign w:val="bottom"/>
            <w:hideMark/>
          </w:tcPr>
          <w:p w14:paraId="0814A88A"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( 12.7% )</w:t>
            </w:r>
          </w:p>
        </w:tc>
        <w:tc>
          <w:tcPr>
            <w:tcW w:w="705" w:type="dxa"/>
            <w:tcBorders>
              <w:top w:val="nil"/>
              <w:left w:val="nil"/>
              <w:bottom w:val="nil"/>
              <w:right w:val="nil"/>
            </w:tcBorders>
            <w:shd w:val="clear" w:color="auto" w:fill="auto"/>
            <w:noWrap/>
            <w:tcMar>
              <w:left w:w="28" w:type="dxa"/>
              <w:right w:w="28" w:type="dxa"/>
            </w:tcMar>
            <w:vAlign w:val="bottom"/>
            <w:hideMark/>
          </w:tcPr>
          <w:p w14:paraId="1B926258"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119</w:t>
            </w:r>
          </w:p>
        </w:tc>
        <w:tc>
          <w:tcPr>
            <w:tcW w:w="1064" w:type="dxa"/>
            <w:tcBorders>
              <w:top w:val="nil"/>
              <w:left w:val="nil"/>
              <w:bottom w:val="nil"/>
              <w:right w:val="nil"/>
            </w:tcBorders>
            <w:shd w:val="clear" w:color="auto" w:fill="auto"/>
            <w:noWrap/>
            <w:tcMar>
              <w:left w:w="28" w:type="dxa"/>
              <w:right w:w="28" w:type="dxa"/>
            </w:tcMar>
            <w:vAlign w:val="bottom"/>
            <w:hideMark/>
          </w:tcPr>
          <w:p w14:paraId="59D383E3"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( 13.7% )</w:t>
            </w:r>
          </w:p>
        </w:tc>
        <w:tc>
          <w:tcPr>
            <w:tcW w:w="705" w:type="dxa"/>
            <w:tcBorders>
              <w:top w:val="nil"/>
              <w:left w:val="nil"/>
              <w:bottom w:val="nil"/>
              <w:right w:val="nil"/>
            </w:tcBorders>
            <w:shd w:val="clear" w:color="auto" w:fill="auto"/>
            <w:noWrap/>
            <w:tcMar>
              <w:left w:w="28" w:type="dxa"/>
              <w:right w:w="28" w:type="dxa"/>
            </w:tcMar>
            <w:vAlign w:val="bottom"/>
            <w:hideMark/>
          </w:tcPr>
          <w:p w14:paraId="227784F7"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31</w:t>
            </w:r>
          </w:p>
        </w:tc>
        <w:tc>
          <w:tcPr>
            <w:tcW w:w="1064" w:type="dxa"/>
            <w:tcBorders>
              <w:top w:val="nil"/>
              <w:left w:val="nil"/>
              <w:bottom w:val="nil"/>
              <w:right w:val="nil"/>
            </w:tcBorders>
            <w:shd w:val="clear" w:color="auto" w:fill="auto"/>
            <w:noWrap/>
            <w:tcMar>
              <w:left w:w="28" w:type="dxa"/>
              <w:right w:w="28" w:type="dxa"/>
            </w:tcMar>
            <w:vAlign w:val="bottom"/>
            <w:hideMark/>
          </w:tcPr>
          <w:p w14:paraId="5E34C7FA"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( 12.0% )</w:t>
            </w:r>
          </w:p>
        </w:tc>
        <w:tc>
          <w:tcPr>
            <w:tcW w:w="679" w:type="dxa"/>
            <w:tcBorders>
              <w:top w:val="nil"/>
              <w:left w:val="nil"/>
              <w:bottom w:val="nil"/>
              <w:right w:val="nil"/>
            </w:tcBorders>
            <w:shd w:val="clear" w:color="auto" w:fill="auto"/>
            <w:noWrap/>
            <w:tcMar>
              <w:left w:w="28" w:type="dxa"/>
              <w:right w:w="28" w:type="dxa"/>
            </w:tcMar>
            <w:vAlign w:val="bottom"/>
            <w:hideMark/>
          </w:tcPr>
          <w:p w14:paraId="29E8B044"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0.70</w:t>
            </w:r>
          </w:p>
        </w:tc>
        <w:tc>
          <w:tcPr>
            <w:tcW w:w="798" w:type="dxa"/>
            <w:tcBorders>
              <w:top w:val="nil"/>
              <w:left w:val="nil"/>
              <w:bottom w:val="nil"/>
              <w:right w:val="nil"/>
            </w:tcBorders>
            <w:shd w:val="clear" w:color="auto" w:fill="auto"/>
            <w:noWrap/>
            <w:tcMar>
              <w:left w:w="28" w:type="dxa"/>
              <w:right w:w="28" w:type="dxa"/>
            </w:tcMar>
            <w:vAlign w:val="bottom"/>
            <w:hideMark/>
          </w:tcPr>
          <w:p w14:paraId="5EBEF080"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0.703</w:t>
            </w:r>
          </w:p>
        </w:tc>
      </w:tr>
      <w:tr w:rsidR="006F272E" w:rsidRPr="006F272E" w14:paraId="6552E5AB"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249975AA"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Generalized Anxiety</w:t>
            </w:r>
          </w:p>
        </w:tc>
        <w:tc>
          <w:tcPr>
            <w:tcW w:w="851" w:type="dxa"/>
            <w:tcBorders>
              <w:top w:val="nil"/>
              <w:left w:val="nil"/>
              <w:bottom w:val="nil"/>
              <w:right w:val="nil"/>
            </w:tcBorders>
            <w:vAlign w:val="bottom"/>
          </w:tcPr>
          <w:p w14:paraId="2E43BD25" w14:textId="4830D95A" w:rsidR="006F272E" w:rsidRPr="006F272E" w:rsidRDefault="006F272E">
            <w:pPr>
              <w:jc w:val="right"/>
              <w:rPr>
                <w:rFonts w:ascii="Calibri" w:hAnsi="Calibri" w:cs="Calibri"/>
                <w:color w:val="000000"/>
                <w:sz w:val="20"/>
                <w:szCs w:val="22"/>
              </w:rPr>
            </w:pPr>
            <w:r w:rsidRPr="000763B1">
              <w:rPr>
                <w:rFonts w:ascii="Calibri" w:hAnsi="Calibri" w:cs="Calibri"/>
                <w:color w:val="000000"/>
                <w:sz w:val="20"/>
                <w:szCs w:val="22"/>
              </w:rPr>
              <w:t>805</w:t>
            </w:r>
          </w:p>
        </w:tc>
        <w:tc>
          <w:tcPr>
            <w:tcW w:w="993" w:type="dxa"/>
            <w:tcBorders>
              <w:top w:val="nil"/>
              <w:left w:val="nil"/>
              <w:bottom w:val="nil"/>
              <w:right w:val="nil"/>
            </w:tcBorders>
            <w:vAlign w:val="bottom"/>
          </w:tcPr>
          <w:p w14:paraId="77BC0BBB" w14:textId="150F4038"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( 34.3% )</w:t>
            </w:r>
          </w:p>
        </w:tc>
        <w:tc>
          <w:tcPr>
            <w:tcW w:w="851" w:type="dxa"/>
            <w:tcBorders>
              <w:top w:val="nil"/>
              <w:left w:val="nil"/>
              <w:bottom w:val="nil"/>
              <w:right w:val="nil"/>
            </w:tcBorders>
            <w:shd w:val="clear" w:color="auto" w:fill="auto"/>
            <w:noWrap/>
            <w:tcMar>
              <w:left w:w="28" w:type="dxa"/>
              <w:right w:w="28" w:type="dxa"/>
            </w:tcMar>
            <w:vAlign w:val="bottom"/>
            <w:hideMark/>
          </w:tcPr>
          <w:p w14:paraId="041AF63B"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432</w:t>
            </w:r>
          </w:p>
        </w:tc>
        <w:tc>
          <w:tcPr>
            <w:tcW w:w="1089" w:type="dxa"/>
            <w:tcBorders>
              <w:top w:val="nil"/>
              <w:left w:val="nil"/>
              <w:bottom w:val="nil"/>
              <w:right w:val="nil"/>
            </w:tcBorders>
            <w:shd w:val="clear" w:color="auto" w:fill="auto"/>
            <w:noWrap/>
            <w:tcMar>
              <w:left w:w="28" w:type="dxa"/>
              <w:right w:w="28" w:type="dxa"/>
            </w:tcMar>
            <w:vAlign w:val="bottom"/>
            <w:hideMark/>
          </w:tcPr>
          <w:p w14:paraId="1964DB20"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( 34.6% )</w:t>
            </w:r>
          </w:p>
        </w:tc>
        <w:tc>
          <w:tcPr>
            <w:tcW w:w="705" w:type="dxa"/>
            <w:tcBorders>
              <w:top w:val="nil"/>
              <w:left w:val="nil"/>
              <w:bottom w:val="nil"/>
              <w:right w:val="nil"/>
            </w:tcBorders>
            <w:shd w:val="clear" w:color="auto" w:fill="auto"/>
            <w:noWrap/>
            <w:tcMar>
              <w:left w:w="28" w:type="dxa"/>
              <w:right w:w="28" w:type="dxa"/>
            </w:tcMar>
            <w:vAlign w:val="bottom"/>
            <w:hideMark/>
          </w:tcPr>
          <w:p w14:paraId="4D371C1D"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292</w:t>
            </w:r>
          </w:p>
        </w:tc>
        <w:tc>
          <w:tcPr>
            <w:tcW w:w="1064" w:type="dxa"/>
            <w:tcBorders>
              <w:top w:val="nil"/>
              <w:left w:val="nil"/>
              <w:bottom w:val="nil"/>
              <w:right w:val="nil"/>
            </w:tcBorders>
            <w:shd w:val="clear" w:color="auto" w:fill="auto"/>
            <w:noWrap/>
            <w:tcMar>
              <w:left w:w="28" w:type="dxa"/>
              <w:right w:w="28" w:type="dxa"/>
            </w:tcMar>
            <w:vAlign w:val="bottom"/>
            <w:hideMark/>
          </w:tcPr>
          <w:p w14:paraId="563E54EF"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( 33.7% )</w:t>
            </w:r>
          </w:p>
        </w:tc>
        <w:tc>
          <w:tcPr>
            <w:tcW w:w="705" w:type="dxa"/>
            <w:tcBorders>
              <w:top w:val="nil"/>
              <w:left w:val="nil"/>
              <w:bottom w:val="nil"/>
              <w:right w:val="nil"/>
            </w:tcBorders>
            <w:shd w:val="clear" w:color="auto" w:fill="auto"/>
            <w:noWrap/>
            <w:tcMar>
              <w:left w:w="28" w:type="dxa"/>
              <w:right w:w="28" w:type="dxa"/>
            </w:tcMar>
            <w:vAlign w:val="bottom"/>
            <w:hideMark/>
          </w:tcPr>
          <w:p w14:paraId="304D2AD8"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81</w:t>
            </w:r>
          </w:p>
        </w:tc>
        <w:tc>
          <w:tcPr>
            <w:tcW w:w="1064" w:type="dxa"/>
            <w:tcBorders>
              <w:top w:val="nil"/>
              <w:left w:val="nil"/>
              <w:bottom w:val="nil"/>
              <w:right w:val="nil"/>
            </w:tcBorders>
            <w:shd w:val="clear" w:color="auto" w:fill="auto"/>
            <w:noWrap/>
            <w:tcMar>
              <w:left w:w="28" w:type="dxa"/>
              <w:right w:w="28" w:type="dxa"/>
            </w:tcMar>
            <w:vAlign w:val="bottom"/>
            <w:hideMark/>
          </w:tcPr>
          <w:p w14:paraId="1B716807"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( 31.4% )</w:t>
            </w:r>
          </w:p>
        </w:tc>
        <w:tc>
          <w:tcPr>
            <w:tcW w:w="679" w:type="dxa"/>
            <w:tcBorders>
              <w:top w:val="nil"/>
              <w:left w:val="nil"/>
              <w:bottom w:val="nil"/>
              <w:right w:val="nil"/>
            </w:tcBorders>
            <w:shd w:val="clear" w:color="auto" w:fill="auto"/>
            <w:noWrap/>
            <w:tcMar>
              <w:left w:w="28" w:type="dxa"/>
              <w:right w:w="28" w:type="dxa"/>
            </w:tcMar>
            <w:vAlign w:val="bottom"/>
            <w:hideMark/>
          </w:tcPr>
          <w:p w14:paraId="68B099ED"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1.00</w:t>
            </w:r>
          </w:p>
        </w:tc>
        <w:tc>
          <w:tcPr>
            <w:tcW w:w="798" w:type="dxa"/>
            <w:tcBorders>
              <w:top w:val="nil"/>
              <w:left w:val="nil"/>
              <w:bottom w:val="nil"/>
              <w:right w:val="nil"/>
            </w:tcBorders>
            <w:shd w:val="clear" w:color="auto" w:fill="auto"/>
            <w:noWrap/>
            <w:tcMar>
              <w:left w:w="28" w:type="dxa"/>
              <w:right w:w="28" w:type="dxa"/>
            </w:tcMar>
            <w:vAlign w:val="bottom"/>
            <w:hideMark/>
          </w:tcPr>
          <w:p w14:paraId="5A0DFA94"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0.605</w:t>
            </w:r>
          </w:p>
        </w:tc>
      </w:tr>
      <w:tr w:rsidR="006F272E" w:rsidRPr="006F272E" w14:paraId="16E43FBA"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3841AC29"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Social anxiety</w:t>
            </w:r>
          </w:p>
        </w:tc>
        <w:tc>
          <w:tcPr>
            <w:tcW w:w="851" w:type="dxa"/>
            <w:tcBorders>
              <w:top w:val="nil"/>
              <w:left w:val="nil"/>
              <w:bottom w:val="nil"/>
              <w:right w:val="nil"/>
            </w:tcBorders>
            <w:vAlign w:val="bottom"/>
          </w:tcPr>
          <w:p w14:paraId="4A766EF8" w14:textId="051F54C0" w:rsidR="006F272E" w:rsidRPr="006F272E" w:rsidRDefault="006F272E">
            <w:pPr>
              <w:jc w:val="right"/>
              <w:rPr>
                <w:rFonts w:ascii="Calibri" w:hAnsi="Calibri" w:cs="Calibri"/>
                <w:color w:val="000000"/>
                <w:sz w:val="20"/>
                <w:szCs w:val="22"/>
              </w:rPr>
            </w:pPr>
            <w:r w:rsidRPr="000763B1">
              <w:rPr>
                <w:rFonts w:ascii="Calibri" w:hAnsi="Calibri" w:cs="Calibri"/>
                <w:color w:val="000000"/>
                <w:sz w:val="20"/>
                <w:szCs w:val="22"/>
              </w:rPr>
              <w:t>529</w:t>
            </w:r>
          </w:p>
        </w:tc>
        <w:tc>
          <w:tcPr>
            <w:tcW w:w="993" w:type="dxa"/>
            <w:tcBorders>
              <w:top w:val="nil"/>
              <w:left w:val="nil"/>
              <w:bottom w:val="nil"/>
              <w:right w:val="nil"/>
            </w:tcBorders>
            <w:vAlign w:val="bottom"/>
          </w:tcPr>
          <w:p w14:paraId="3C8C0446" w14:textId="1E030A44"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( 22.5% )</w:t>
            </w:r>
          </w:p>
        </w:tc>
        <w:tc>
          <w:tcPr>
            <w:tcW w:w="851" w:type="dxa"/>
            <w:tcBorders>
              <w:top w:val="nil"/>
              <w:left w:val="nil"/>
              <w:bottom w:val="nil"/>
              <w:right w:val="nil"/>
            </w:tcBorders>
            <w:shd w:val="clear" w:color="auto" w:fill="auto"/>
            <w:noWrap/>
            <w:tcMar>
              <w:left w:w="28" w:type="dxa"/>
              <w:right w:w="28" w:type="dxa"/>
            </w:tcMar>
            <w:vAlign w:val="bottom"/>
            <w:hideMark/>
          </w:tcPr>
          <w:p w14:paraId="628CC5A6"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269</w:t>
            </w:r>
          </w:p>
        </w:tc>
        <w:tc>
          <w:tcPr>
            <w:tcW w:w="1089" w:type="dxa"/>
            <w:tcBorders>
              <w:top w:val="nil"/>
              <w:left w:val="nil"/>
              <w:bottom w:val="nil"/>
              <w:right w:val="nil"/>
            </w:tcBorders>
            <w:shd w:val="clear" w:color="auto" w:fill="auto"/>
            <w:noWrap/>
            <w:tcMar>
              <w:left w:w="28" w:type="dxa"/>
              <w:right w:w="28" w:type="dxa"/>
            </w:tcMar>
            <w:vAlign w:val="bottom"/>
            <w:hideMark/>
          </w:tcPr>
          <w:p w14:paraId="4D875170"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( 21.5% )</w:t>
            </w:r>
          </w:p>
        </w:tc>
        <w:tc>
          <w:tcPr>
            <w:tcW w:w="705" w:type="dxa"/>
            <w:tcBorders>
              <w:top w:val="nil"/>
              <w:left w:val="nil"/>
              <w:bottom w:val="nil"/>
              <w:right w:val="nil"/>
            </w:tcBorders>
            <w:shd w:val="clear" w:color="auto" w:fill="auto"/>
            <w:noWrap/>
            <w:tcMar>
              <w:left w:w="28" w:type="dxa"/>
              <w:right w:w="28" w:type="dxa"/>
            </w:tcMar>
            <w:vAlign w:val="bottom"/>
            <w:hideMark/>
          </w:tcPr>
          <w:p w14:paraId="5B4C1140"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203</w:t>
            </w:r>
          </w:p>
        </w:tc>
        <w:tc>
          <w:tcPr>
            <w:tcW w:w="1064" w:type="dxa"/>
            <w:tcBorders>
              <w:top w:val="nil"/>
              <w:left w:val="nil"/>
              <w:bottom w:val="nil"/>
              <w:right w:val="nil"/>
            </w:tcBorders>
            <w:shd w:val="clear" w:color="auto" w:fill="auto"/>
            <w:noWrap/>
            <w:tcMar>
              <w:left w:w="28" w:type="dxa"/>
              <w:right w:w="28" w:type="dxa"/>
            </w:tcMar>
            <w:vAlign w:val="bottom"/>
            <w:hideMark/>
          </w:tcPr>
          <w:p w14:paraId="103E9CBE"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( 23.4% )</w:t>
            </w:r>
          </w:p>
        </w:tc>
        <w:tc>
          <w:tcPr>
            <w:tcW w:w="705" w:type="dxa"/>
            <w:tcBorders>
              <w:top w:val="nil"/>
              <w:left w:val="nil"/>
              <w:bottom w:val="nil"/>
              <w:right w:val="nil"/>
            </w:tcBorders>
            <w:shd w:val="clear" w:color="auto" w:fill="auto"/>
            <w:noWrap/>
            <w:tcMar>
              <w:left w:w="28" w:type="dxa"/>
              <w:right w:w="28" w:type="dxa"/>
            </w:tcMar>
            <w:vAlign w:val="bottom"/>
            <w:hideMark/>
          </w:tcPr>
          <w:p w14:paraId="4D0FEC5B"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57</w:t>
            </w:r>
          </w:p>
        </w:tc>
        <w:tc>
          <w:tcPr>
            <w:tcW w:w="1064" w:type="dxa"/>
            <w:tcBorders>
              <w:top w:val="nil"/>
              <w:left w:val="nil"/>
              <w:bottom w:val="nil"/>
              <w:right w:val="nil"/>
            </w:tcBorders>
            <w:shd w:val="clear" w:color="auto" w:fill="auto"/>
            <w:noWrap/>
            <w:tcMar>
              <w:left w:w="28" w:type="dxa"/>
              <w:right w:w="28" w:type="dxa"/>
            </w:tcMar>
            <w:vAlign w:val="bottom"/>
            <w:hideMark/>
          </w:tcPr>
          <w:p w14:paraId="76EB35E6"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( 22.1% )</w:t>
            </w:r>
          </w:p>
        </w:tc>
        <w:tc>
          <w:tcPr>
            <w:tcW w:w="679" w:type="dxa"/>
            <w:tcBorders>
              <w:top w:val="nil"/>
              <w:left w:val="nil"/>
              <w:bottom w:val="nil"/>
              <w:right w:val="nil"/>
            </w:tcBorders>
            <w:shd w:val="clear" w:color="auto" w:fill="auto"/>
            <w:noWrap/>
            <w:tcMar>
              <w:left w:w="28" w:type="dxa"/>
              <w:right w:w="28" w:type="dxa"/>
            </w:tcMar>
            <w:vAlign w:val="bottom"/>
            <w:hideMark/>
          </w:tcPr>
          <w:p w14:paraId="387FA666"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1.05</w:t>
            </w:r>
          </w:p>
        </w:tc>
        <w:tc>
          <w:tcPr>
            <w:tcW w:w="798" w:type="dxa"/>
            <w:tcBorders>
              <w:top w:val="nil"/>
              <w:left w:val="nil"/>
              <w:bottom w:val="nil"/>
              <w:right w:val="nil"/>
            </w:tcBorders>
            <w:shd w:val="clear" w:color="auto" w:fill="auto"/>
            <w:noWrap/>
            <w:tcMar>
              <w:left w:w="28" w:type="dxa"/>
              <w:right w:w="28" w:type="dxa"/>
            </w:tcMar>
            <w:vAlign w:val="bottom"/>
            <w:hideMark/>
          </w:tcPr>
          <w:p w14:paraId="141F7BFC"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0.592</w:t>
            </w:r>
          </w:p>
        </w:tc>
      </w:tr>
      <w:tr w:rsidR="006F272E" w:rsidRPr="006F272E" w14:paraId="53E0B646"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4D6D797E"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Panic</w:t>
            </w:r>
          </w:p>
        </w:tc>
        <w:tc>
          <w:tcPr>
            <w:tcW w:w="851" w:type="dxa"/>
            <w:tcBorders>
              <w:top w:val="nil"/>
              <w:left w:val="nil"/>
              <w:bottom w:val="nil"/>
              <w:right w:val="nil"/>
            </w:tcBorders>
            <w:vAlign w:val="bottom"/>
          </w:tcPr>
          <w:p w14:paraId="7BDAB614" w14:textId="75AD953D" w:rsidR="006F272E" w:rsidRPr="006F272E" w:rsidRDefault="006F272E">
            <w:pPr>
              <w:jc w:val="right"/>
              <w:rPr>
                <w:rFonts w:ascii="Calibri" w:hAnsi="Calibri" w:cs="Calibri"/>
                <w:color w:val="000000"/>
                <w:sz w:val="20"/>
                <w:szCs w:val="22"/>
              </w:rPr>
            </w:pPr>
            <w:r w:rsidRPr="000763B1">
              <w:rPr>
                <w:rFonts w:ascii="Calibri" w:hAnsi="Calibri" w:cs="Calibri"/>
                <w:color w:val="000000"/>
                <w:sz w:val="20"/>
                <w:szCs w:val="22"/>
              </w:rPr>
              <w:t>190</w:t>
            </w:r>
          </w:p>
        </w:tc>
        <w:tc>
          <w:tcPr>
            <w:tcW w:w="993" w:type="dxa"/>
            <w:tcBorders>
              <w:top w:val="nil"/>
              <w:left w:val="nil"/>
              <w:bottom w:val="nil"/>
              <w:right w:val="nil"/>
            </w:tcBorders>
            <w:vAlign w:val="bottom"/>
          </w:tcPr>
          <w:p w14:paraId="10881F45" w14:textId="1F432A64"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( 8.1% )</w:t>
            </w:r>
          </w:p>
        </w:tc>
        <w:tc>
          <w:tcPr>
            <w:tcW w:w="851" w:type="dxa"/>
            <w:tcBorders>
              <w:top w:val="nil"/>
              <w:left w:val="nil"/>
              <w:bottom w:val="nil"/>
              <w:right w:val="nil"/>
            </w:tcBorders>
            <w:shd w:val="clear" w:color="auto" w:fill="auto"/>
            <w:noWrap/>
            <w:tcMar>
              <w:left w:w="28" w:type="dxa"/>
              <w:right w:w="28" w:type="dxa"/>
            </w:tcMar>
            <w:vAlign w:val="bottom"/>
            <w:hideMark/>
          </w:tcPr>
          <w:p w14:paraId="5124533C"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97</w:t>
            </w:r>
          </w:p>
        </w:tc>
        <w:tc>
          <w:tcPr>
            <w:tcW w:w="1089" w:type="dxa"/>
            <w:tcBorders>
              <w:top w:val="nil"/>
              <w:left w:val="nil"/>
              <w:bottom w:val="nil"/>
              <w:right w:val="nil"/>
            </w:tcBorders>
            <w:shd w:val="clear" w:color="auto" w:fill="auto"/>
            <w:noWrap/>
            <w:tcMar>
              <w:left w:w="28" w:type="dxa"/>
              <w:right w:w="28" w:type="dxa"/>
            </w:tcMar>
            <w:vAlign w:val="bottom"/>
            <w:hideMark/>
          </w:tcPr>
          <w:p w14:paraId="799A1556"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( 7.8% )</w:t>
            </w:r>
          </w:p>
        </w:tc>
        <w:tc>
          <w:tcPr>
            <w:tcW w:w="705" w:type="dxa"/>
            <w:tcBorders>
              <w:top w:val="nil"/>
              <w:left w:val="nil"/>
              <w:bottom w:val="nil"/>
              <w:right w:val="nil"/>
            </w:tcBorders>
            <w:shd w:val="clear" w:color="auto" w:fill="auto"/>
            <w:noWrap/>
            <w:tcMar>
              <w:left w:w="28" w:type="dxa"/>
              <w:right w:w="28" w:type="dxa"/>
            </w:tcMar>
            <w:vAlign w:val="bottom"/>
            <w:hideMark/>
          </w:tcPr>
          <w:p w14:paraId="27317DB4"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75</w:t>
            </w:r>
          </w:p>
        </w:tc>
        <w:tc>
          <w:tcPr>
            <w:tcW w:w="1064" w:type="dxa"/>
            <w:tcBorders>
              <w:top w:val="nil"/>
              <w:left w:val="nil"/>
              <w:bottom w:val="nil"/>
              <w:right w:val="nil"/>
            </w:tcBorders>
            <w:shd w:val="clear" w:color="auto" w:fill="auto"/>
            <w:noWrap/>
            <w:tcMar>
              <w:left w:w="28" w:type="dxa"/>
              <w:right w:w="28" w:type="dxa"/>
            </w:tcMar>
            <w:vAlign w:val="bottom"/>
            <w:hideMark/>
          </w:tcPr>
          <w:p w14:paraId="30B026CD"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( 8.7% )</w:t>
            </w:r>
          </w:p>
        </w:tc>
        <w:tc>
          <w:tcPr>
            <w:tcW w:w="705" w:type="dxa"/>
            <w:tcBorders>
              <w:top w:val="nil"/>
              <w:left w:val="nil"/>
              <w:bottom w:val="nil"/>
              <w:right w:val="nil"/>
            </w:tcBorders>
            <w:shd w:val="clear" w:color="auto" w:fill="auto"/>
            <w:noWrap/>
            <w:tcMar>
              <w:left w:w="28" w:type="dxa"/>
              <w:right w:w="28" w:type="dxa"/>
            </w:tcMar>
            <w:vAlign w:val="bottom"/>
            <w:hideMark/>
          </w:tcPr>
          <w:p w14:paraId="70CD5A17"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18</w:t>
            </w:r>
          </w:p>
        </w:tc>
        <w:tc>
          <w:tcPr>
            <w:tcW w:w="1064" w:type="dxa"/>
            <w:tcBorders>
              <w:top w:val="nil"/>
              <w:left w:val="nil"/>
              <w:bottom w:val="nil"/>
              <w:right w:val="nil"/>
            </w:tcBorders>
            <w:shd w:val="clear" w:color="auto" w:fill="auto"/>
            <w:noWrap/>
            <w:tcMar>
              <w:left w:w="28" w:type="dxa"/>
              <w:right w:w="28" w:type="dxa"/>
            </w:tcMar>
            <w:vAlign w:val="bottom"/>
            <w:hideMark/>
          </w:tcPr>
          <w:p w14:paraId="11061979"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( 7.0% )</w:t>
            </w:r>
          </w:p>
        </w:tc>
        <w:tc>
          <w:tcPr>
            <w:tcW w:w="679" w:type="dxa"/>
            <w:tcBorders>
              <w:top w:val="nil"/>
              <w:left w:val="nil"/>
              <w:bottom w:val="nil"/>
              <w:right w:val="nil"/>
            </w:tcBorders>
            <w:shd w:val="clear" w:color="auto" w:fill="auto"/>
            <w:noWrap/>
            <w:tcMar>
              <w:left w:w="28" w:type="dxa"/>
              <w:right w:w="28" w:type="dxa"/>
            </w:tcMar>
            <w:vAlign w:val="bottom"/>
            <w:hideMark/>
          </w:tcPr>
          <w:p w14:paraId="320BE6D6"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0.96</w:t>
            </w:r>
          </w:p>
        </w:tc>
        <w:tc>
          <w:tcPr>
            <w:tcW w:w="798" w:type="dxa"/>
            <w:tcBorders>
              <w:top w:val="nil"/>
              <w:left w:val="nil"/>
              <w:bottom w:val="nil"/>
              <w:right w:val="nil"/>
            </w:tcBorders>
            <w:shd w:val="clear" w:color="auto" w:fill="auto"/>
            <w:noWrap/>
            <w:tcMar>
              <w:left w:w="28" w:type="dxa"/>
              <w:right w:w="28" w:type="dxa"/>
            </w:tcMar>
            <w:vAlign w:val="bottom"/>
            <w:hideMark/>
          </w:tcPr>
          <w:p w14:paraId="0DA37C35"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0.619</w:t>
            </w:r>
          </w:p>
        </w:tc>
      </w:tr>
      <w:tr w:rsidR="006F272E" w:rsidRPr="006F272E" w14:paraId="3718F4A0"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6EBD7E08"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Post-traumatic stress</w:t>
            </w:r>
          </w:p>
        </w:tc>
        <w:tc>
          <w:tcPr>
            <w:tcW w:w="851" w:type="dxa"/>
            <w:tcBorders>
              <w:top w:val="nil"/>
              <w:left w:val="nil"/>
              <w:bottom w:val="nil"/>
              <w:right w:val="nil"/>
            </w:tcBorders>
            <w:vAlign w:val="bottom"/>
          </w:tcPr>
          <w:p w14:paraId="7698FA9B" w14:textId="6EBE0116" w:rsidR="006F272E" w:rsidRPr="006F272E" w:rsidRDefault="006F272E">
            <w:pPr>
              <w:jc w:val="right"/>
              <w:rPr>
                <w:rFonts w:ascii="Calibri" w:hAnsi="Calibri" w:cs="Calibri"/>
                <w:color w:val="000000"/>
                <w:sz w:val="20"/>
                <w:szCs w:val="22"/>
              </w:rPr>
            </w:pPr>
            <w:r w:rsidRPr="000763B1">
              <w:rPr>
                <w:rFonts w:ascii="Calibri" w:hAnsi="Calibri" w:cs="Calibri"/>
                <w:color w:val="000000"/>
                <w:sz w:val="20"/>
                <w:szCs w:val="22"/>
              </w:rPr>
              <w:t>410</w:t>
            </w:r>
          </w:p>
        </w:tc>
        <w:tc>
          <w:tcPr>
            <w:tcW w:w="993" w:type="dxa"/>
            <w:tcBorders>
              <w:top w:val="nil"/>
              <w:left w:val="nil"/>
              <w:bottom w:val="nil"/>
              <w:right w:val="nil"/>
            </w:tcBorders>
            <w:vAlign w:val="bottom"/>
          </w:tcPr>
          <w:p w14:paraId="65D2F655" w14:textId="0A3CA321"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( 17.5% )</w:t>
            </w:r>
          </w:p>
        </w:tc>
        <w:tc>
          <w:tcPr>
            <w:tcW w:w="851" w:type="dxa"/>
            <w:tcBorders>
              <w:top w:val="nil"/>
              <w:left w:val="nil"/>
              <w:bottom w:val="nil"/>
              <w:right w:val="nil"/>
            </w:tcBorders>
            <w:shd w:val="clear" w:color="auto" w:fill="auto"/>
            <w:noWrap/>
            <w:tcMar>
              <w:left w:w="28" w:type="dxa"/>
              <w:right w:w="28" w:type="dxa"/>
            </w:tcMar>
            <w:vAlign w:val="bottom"/>
            <w:hideMark/>
          </w:tcPr>
          <w:p w14:paraId="6940F59D"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199</w:t>
            </w:r>
          </w:p>
        </w:tc>
        <w:tc>
          <w:tcPr>
            <w:tcW w:w="1089" w:type="dxa"/>
            <w:tcBorders>
              <w:top w:val="nil"/>
              <w:left w:val="nil"/>
              <w:bottom w:val="nil"/>
              <w:right w:val="nil"/>
            </w:tcBorders>
            <w:shd w:val="clear" w:color="auto" w:fill="auto"/>
            <w:noWrap/>
            <w:tcMar>
              <w:left w:w="28" w:type="dxa"/>
              <w:right w:w="28" w:type="dxa"/>
            </w:tcMar>
            <w:vAlign w:val="bottom"/>
            <w:hideMark/>
          </w:tcPr>
          <w:p w14:paraId="7C1B86F6"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( 15.9% )</w:t>
            </w:r>
          </w:p>
        </w:tc>
        <w:tc>
          <w:tcPr>
            <w:tcW w:w="705" w:type="dxa"/>
            <w:tcBorders>
              <w:top w:val="nil"/>
              <w:left w:val="nil"/>
              <w:bottom w:val="nil"/>
              <w:right w:val="nil"/>
            </w:tcBorders>
            <w:shd w:val="clear" w:color="auto" w:fill="auto"/>
            <w:noWrap/>
            <w:tcMar>
              <w:left w:w="28" w:type="dxa"/>
              <w:right w:w="28" w:type="dxa"/>
            </w:tcMar>
            <w:vAlign w:val="bottom"/>
            <w:hideMark/>
          </w:tcPr>
          <w:p w14:paraId="47158008"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165</w:t>
            </w:r>
          </w:p>
        </w:tc>
        <w:tc>
          <w:tcPr>
            <w:tcW w:w="1064" w:type="dxa"/>
            <w:tcBorders>
              <w:top w:val="nil"/>
              <w:left w:val="nil"/>
              <w:bottom w:val="nil"/>
              <w:right w:val="nil"/>
            </w:tcBorders>
            <w:shd w:val="clear" w:color="auto" w:fill="auto"/>
            <w:noWrap/>
            <w:tcMar>
              <w:left w:w="28" w:type="dxa"/>
              <w:right w:w="28" w:type="dxa"/>
            </w:tcMar>
            <w:vAlign w:val="bottom"/>
            <w:hideMark/>
          </w:tcPr>
          <w:p w14:paraId="1EDD85B4"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( 19.0% )</w:t>
            </w:r>
          </w:p>
        </w:tc>
        <w:tc>
          <w:tcPr>
            <w:tcW w:w="705" w:type="dxa"/>
            <w:tcBorders>
              <w:top w:val="nil"/>
              <w:left w:val="nil"/>
              <w:bottom w:val="nil"/>
              <w:right w:val="nil"/>
            </w:tcBorders>
            <w:shd w:val="clear" w:color="auto" w:fill="auto"/>
            <w:noWrap/>
            <w:tcMar>
              <w:left w:w="28" w:type="dxa"/>
              <w:right w:w="28" w:type="dxa"/>
            </w:tcMar>
            <w:vAlign w:val="bottom"/>
            <w:hideMark/>
          </w:tcPr>
          <w:p w14:paraId="335F1937"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46</w:t>
            </w:r>
          </w:p>
        </w:tc>
        <w:tc>
          <w:tcPr>
            <w:tcW w:w="1064" w:type="dxa"/>
            <w:tcBorders>
              <w:top w:val="nil"/>
              <w:left w:val="nil"/>
              <w:bottom w:val="nil"/>
              <w:right w:val="nil"/>
            </w:tcBorders>
            <w:shd w:val="clear" w:color="auto" w:fill="auto"/>
            <w:noWrap/>
            <w:tcMar>
              <w:left w:w="28" w:type="dxa"/>
              <w:right w:w="28" w:type="dxa"/>
            </w:tcMar>
            <w:vAlign w:val="bottom"/>
            <w:hideMark/>
          </w:tcPr>
          <w:p w14:paraId="6257301D"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( 17.8% )</w:t>
            </w:r>
          </w:p>
        </w:tc>
        <w:tc>
          <w:tcPr>
            <w:tcW w:w="679" w:type="dxa"/>
            <w:tcBorders>
              <w:top w:val="nil"/>
              <w:left w:val="nil"/>
              <w:bottom w:val="nil"/>
              <w:right w:val="nil"/>
            </w:tcBorders>
            <w:shd w:val="clear" w:color="auto" w:fill="auto"/>
            <w:noWrap/>
            <w:tcMar>
              <w:left w:w="28" w:type="dxa"/>
              <w:right w:w="28" w:type="dxa"/>
            </w:tcMar>
            <w:vAlign w:val="bottom"/>
            <w:hideMark/>
          </w:tcPr>
          <w:p w14:paraId="45DDC045"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3.50</w:t>
            </w:r>
          </w:p>
        </w:tc>
        <w:tc>
          <w:tcPr>
            <w:tcW w:w="798" w:type="dxa"/>
            <w:tcBorders>
              <w:top w:val="nil"/>
              <w:left w:val="nil"/>
              <w:bottom w:val="nil"/>
              <w:right w:val="nil"/>
            </w:tcBorders>
            <w:shd w:val="clear" w:color="auto" w:fill="auto"/>
            <w:noWrap/>
            <w:tcMar>
              <w:left w:w="28" w:type="dxa"/>
              <w:right w:w="28" w:type="dxa"/>
            </w:tcMar>
            <w:vAlign w:val="bottom"/>
            <w:hideMark/>
          </w:tcPr>
          <w:p w14:paraId="6725FAF2"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0.174</w:t>
            </w:r>
          </w:p>
        </w:tc>
      </w:tr>
      <w:tr w:rsidR="006F272E" w:rsidRPr="006F272E" w14:paraId="3D0DD46D"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536D6861"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Alcohol use</w:t>
            </w:r>
          </w:p>
        </w:tc>
        <w:tc>
          <w:tcPr>
            <w:tcW w:w="851" w:type="dxa"/>
            <w:tcBorders>
              <w:top w:val="nil"/>
              <w:left w:val="nil"/>
              <w:bottom w:val="nil"/>
              <w:right w:val="nil"/>
            </w:tcBorders>
            <w:vAlign w:val="bottom"/>
          </w:tcPr>
          <w:p w14:paraId="274A2B4E" w14:textId="534ADF76" w:rsidR="006F272E" w:rsidRPr="006F272E" w:rsidRDefault="006F272E">
            <w:pPr>
              <w:jc w:val="right"/>
              <w:rPr>
                <w:rFonts w:ascii="Calibri" w:hAnsi="Calibri" w:cs="Calibri"/>
                <w:color w:val="000000"/>
                <w:sz w:val="20"/>
                <w:szCs w:val="22"/>
              </w:rPr>
            </w:pPr>
            <w:r w:rsidRPr="000763B1">
              <w:rPr>
                <w:rFonts w:ascii="Calibri" w:hAnsi="Calibri" w:cs="Calibri"/>
                <w:color w:val="000000"/>
                <w:sz w:val="20"/>
                <w:szCs w:val="22"/>
              </w:rPr>
              <w:t>1106</w:t>
            </w:r>
          </w:p>
        </w:tc>
        <w:tc>
          <w:tcPr>
            <w:tcW w:w="993" w:type="dxa"/>
            <w:tcBorders>
              <w:top w:val="nil"/>
              <w:left w:val="nil"/>
              <w:bottom w:val="nil"/>
              <w:right w:val="nil"/>
            </w:tcBorders>
            <w:vAlign w:val="bottom"/>
          </w:tcPr>
          <w:p w14:paraId="636C0F8C" w14:textId="7A6B8DBA"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( 47.1% )</w:t>
            </w:r>
          </w:p>
        </w:tc>
        <w:tc>
          <w:tcPr>
            <w:tcW w:w="851" w:type="dxa"/>
            <w:tcBorders>
              <w:top w:val="nil"/>
              <w:left w:val="nil"/>
              <w:bottom w:val="nil"/>
              <w:right w:val="nil"/>
            </w:tcBorders>
            <w:shd w:val="clear" w:color="auto" w:fill="auto"/>
            <w:noWrap/>
            <w:tcMar>
              <w:left w:w="28" w:type="dxa"/>
              <w:right w:w="28" w:type="dxa"/>
            </w:tcMar>
            <w:vAlign w:val="bottom"/>
            <w:hideMark/>
          </w:tcPr>
          <w:p w14:paraId="439D6140"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611</w:t>
            </w:r>
          </w:p>
        </w:tc>
        <w:tc>
          <w:tcPr>
            <w:tcW w:w="1089" w:type="dxa"/>
            <w:tcBorders>
              <w:top w:val="nil"/>
              <w:left w:val="nil"/>
              <w:bottom w:val="nil"/>
              <w:right w:val="nil"/>
            </w:tcBorders>
            <w:shd w:val="clear" w:color="auto" w:fill="auto"/>
            <w:noWrap/>
            <w:tcMar>
              <w:left w:w="28" w:type="dxa"/>
              <w:right w:w="28" w:type="dxa"/>
            </w:tcMar>
            <w:vAlign w:val="bottom"/>
            <w:hideMark/>
          </w:tcPr>
          <w:p w14:paraId="07A8A39A"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( 48.9% )</w:t>
            </w:r>
          </w:p>
        </w:tc>
        <w:tc>
          <w:tcPr>
            <w:tcW w:w="705" w:type="dxa"/>
            <w:tcBorders>
              <w:top w:val="nil"/>
              <w:left w:val="nil"/>
              <w:bottom w:val="nil"/>
              <w:right w:val="nil"/>
            </w:tcBorders>
            <w:shd w:val="clear" w:color="auto" w:fill="auto"/>
            <w:noWrap/>
            <w:tcMar>
              <w:left w:w="28" w:type="dxa"/>
              <w:right w:w="28" w:type="dxa"/>
            </w:tcMar>
            <w:vAlign w:val="bottom"/>
            <w:hideMark/>
          </w:tcPr>
          <w:p w14:paraId="6B990C21"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392</w:t>
            </w:r>
          </w:p>
        </w:tc>
        <w:tc>
          <w:tcPr>
            <w:tcW w:w="1064" w:type="dxa"/>
            <w:tcBorders>
              <w:top w:val="nil"/>
              <w:left w:val="nil"/>
              <w:bottom w:val="nil"/>
              <w:right w:val="nil"/>
            </w:tcBorders>
            <w:shd w:val="clear" w:color="auto" w:fill="auto"/>
            <w:noWrap/>
            <w:tcMar>
              <w:left w:w="28" w:type="dxa"/>
              <w:right w:w="28" w:type="dxa"/>
            </w:tcMar>
            <w:vAlign w:val="bottom"/>
            <w:hideMark/>
          </w:tcPr>
          <w:p w14:paraId="69734F3D"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( 45.2% )</w:t>
            </w:r>
          </w:p>
        </w:tc>
        <w:tc>
          <w:tcPr>
            <w:tcW w:w="705" w:type="dxa"/>
            <w:tcBorders>
              <w:top w:val="nil"/>
              <w:left w:val="nil"/>
              <w:bottom w:val="nil"/>
              <w:right w:val="nil"/>
            </w:tcBorders>
            <w:shd w:val="clear" w:color="auto" w:fill="auto"/>
            <w:noWrap/>
            <w:tcMar>
              <w:left w:w="28" w:type="dxa"/>
              <w:right w:w="28" w:type="dxa"/>
            </w:tcMar>
            <w:vAlign w:val="bottom"/>
            <w:hideMark/>
          </w:tcPr>
          <w:p w14:paraId="07B3BDBE"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103</w:t>
            </w:r>
          </w:p>
        </w:tc>
        <w:tc>
          <w:tcPr>
            <w:tcW w:w="1064" w:type="dxa"/>
            <w:tcBorders>
              <w:top w:val="nil"/>
              <w:left w:val="nil"/>
              <w:bottom w:val="nil"/>
              <w:right w:val="nil"/>
            </w:tcBorders>
            <w:shd w:val="clear" w:color="auto" w:fill="auto"/>
            <w:noWrap/>
            <w:tcMar>
              <w:left w:w="28" w:type="dxa"/>
              <w:right w:w="28" w:type="dxa"/>
            </w:tcMar>
            <w:vAlign w:val="bottom"/>
            <w:hideMark/>
          </w:tcPr>
          <w:p w14:paraId="1582C8B0"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( 39.9% )</w:t>
            </w:r>
          </w:p>
        </w:tc>
        <w:tc>
          <w:tcPr>
            <w:tcW w:w="679" w:type="dxa"/>
            <w:tcBorders>
              <w:top w:val="nil"/>
              <w:left w:val="nil"/>
              <w:bottom w:val="nil"/>
              <w:right w:val="nil"/>
            </w:tcBorders>
            <w:shd w:val="clear" w:color="auto" w:fill="auto"/>
            <w:noWrap/>
            <w:tcMar>
              <w:left w:w="28" w:type="dxa"/>
              <w:right w:w="28" w:type="dxa"/>
            </w:tcMar>
            <w:vAlign w:val="bottom"/>
            <w:hideMark/>
          </w:tcPr>
          <w:p w14:paraId="5559D749"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7.99</w:t>
            </w:r>
          </w:p>
        </w:tc>
        <w:tc>
          <w:tcPr>
            <w:tcW w:w="798" w:type="dxa"/>
            <w:tcBorders>
              <w:top w:val="nil"/>
              <w:left w:val="nil"/>
              <w:bottom w:val="nil"/>
              <w:right w:val="nil"/>
            </w:tcBorders>
            <w:shd w:val="clear" w:color="auto" w:fill="auto"/>
            <w:noWrap/>
            <w:tcMar>
              <w:left w:w="28" w:type="dxa"/>
              <w:right w:w="28" w:type="dxa"/>
            </w:tcMar>
            <w:vAlign w:val="bottom"/>
            <w:hideMark/>
          </w:tcPr>
          <w:p w14:paraId="72A4F311" w14:textId="77777777" w:rsidR="006F272E" w:rsidRPr="006F272E" w:rsidRDefault="006F272E" w:rsidP="006F272E">
            <w:pPr>
              <w:jc w:val="center"/>
              <w:rPr>
                <w:rFonts w:ascii="Calibri" w:hAnsi="Calibri" w:cs="Calibri"/>
                <w:b/>
                <w:bCs/>
                <w:color w:val="000000"/>
                <w:sz w:val="20"/>
                <w:szCs w:val="22"/>
              </w:rPr>
            </w:pPr>
            <w:r w:rsidRPr="006F272E">
              <w:rPr>
                <w:rFonts w:ascii="Calibri" w:hAnsi="Calibri" w:cs="Calibri"/>
                <w:b/>
                <w:bCs/>
                <w:color w:val="000000"/>
                <w:sz w:val="20"/>
                <w:szCs w:val="22"/>
              </w:rPr>
              <w:t>0.018</w:t>
            </w:r>
          </w:p>
        </w:tc>
      </w:tr>
      <w:tr w:rsidR="006F272E" w:rsidRPr="006F272E" w14:paraId="6E78F9C9"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569B402C" w14:textId="77777777" w:rsidR="006F272E" w:rsidRPr="006F272E" w:rsidRDefault="006F272E" w:rsidP="006F272E">
            <w:pPr>
              <w:ind w:firstLineChars="100" w:firstLine="200"/>
              <w:rPr>
                <w:rFonts w:ascii="Calibri" w:hAnsi="Calibri" w:cs="Calibri"/>
                <w:color w:val="000000"/>
                <w:sz w:val="20"/>
                <w:szCs w:val="22"/>
              </w:rPr>
            </w:pPr>
            <w:r w:rsidRPr="006F272E">
              <w:rPr>
                <w:rFonts w:ascii="Calibri" w:hAnsi="Calibri" w:cs="Calibri"/>
                <w:color w:val="000000"/>
                <w:sz w:val="20"/>
                <w:szCs w:val="22"/>
              </w:rPr>
              <w:t>Substance use</w:t>
            </w:r>
          </w:p>
        </w:tc>
        <w:tc>
          <w:tcPr>
            <w:tcW w:w="851" w:type="dxa"/>
            <w:tcBorders>
              <w:top w:val="nil"/>
              <w:left w:val="nil"/>
              <w:bottom w:val="nil"/>
              <w:right w:val="nil"/>
            </w:tcBorders>
            <w:vAlign w:val="bottom"/>
          </w:tcPr>
          <w:p w14:paraId="1CF9CB60" w14:textId="0B290CF0" w:rsidR="006F272E" w:rsidRPr="006F272E" w:rsidRDefault="006F272E">
            <w:pPr>
              <w:jc w:val="right"/>
              <w:rPr>
                <w:rFonts w:ascii="Calibri" w:hAnsi="Calibri" w:cs="Calibri"/>
                <w:color w:val="000000"/>
                <w:sz w:val="20"/>
                <w:szCs w:val="22"/>
              </w:rPr>
            </w:pPr>
            <w:r w:rsidRPr="000763B1">
              <w:rPr>
                <w:rFonts w:ascii="Calibri" w:hAnsi="Calibri" w:cs="Calibri"/>
                <w:color w:val="000000"/>
                <w:sz w:val="20"/>
                <w:szCs w:val="22"/>
              </w:rPr>
              <w:t>344</w:t>
            </w:r>
          </w:p>
        </w:tc>
        <w:tc>
          <w:tcPr>
            <w:tcW w:w="993" w:type="dxa"/>
            <w:tcBorders>
              <w:top w:val="nil"/>
              <w:left w:val="nil"/>
              <w:bottom w:val="nil"/>
              <w:right w:val="nil"/>
            </w:tcBorders>
            <w:vAlign w:val="bottom"/>
          </w:tcPr>
          <w:p w14:paraId="35FBF13A" w14:textId="40E20A1C"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( 14.7% )</w:t>
            </w:r>
          </w:p>
        </w:tc>
        <w:tc>
          <w:tcPr>
            <w:tcW w:w="851" w:type="dxa"/>
            <w:tcBorders>
              <w:top w:val="nil"/>
              <w:left w:val="nil"/>
              <w:bottom w:val="nil"/>
              <w:right w:val="nil"/>
            </w:tcBorders>
            <w:shd w:val="clear" w:color="auto" w:fill="auto"/>
            <w:noWrap/>
            <w:tcMar>
              <w:left w:w="28" w:type="dxa"/>
              <w:right w:w="28" w:type="dxa"/>
            </w:tcMar>
            <w:vAlign w:val="bottom"/>
            <w:hideMark/>
          </w:tcPr>
          <w:p w14:paraId="1D61FF43"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176</w:t>
            </w:r>
          </w:p>
        </w:tc>
        <w:tc>
          <w:tcPr>
            <w:tcW w:w="1089" w:type="dxa"/>
            <w:tcBorders>
              <w:top w:val="nil"/>
              <w:left w:val="nil"/>
              <w:bottom w:val="nil"/>
              <w:right w:val="nil"/>
            </w:tcBorders>
            <w:shd w:val="clear" w:color="auto" w:fill="auto"/>
            <w:noWrap/>
            <w:tcMar>
              <w:left w:w="28" w:type="dxa"/>
              <w:right w:w="28" w:type="dxa"/>
            </w:tcMar>
            <w:vAlign w:val="bottom"/>
            <w:hideMark/>
          </w:tcPr>
          <w:p w14:paraId="538A61DD"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( 14.1% )</w:t>
            </w:r>
          </w:p>
        </w:tc>
        <w:tc>
          <w:tcPr>
            <w:tcW w:w="705" w:type="dxa"/>
            <w:tcBorders>
              <w:top w:val="nil"/>
              <w:left w:val="nil"/>
              <w:bottom w:val="nil"/>
              <w:right w:val="nil"/>
            </w:tcBorders>
            <w:shd w:val="clear" w:color="auto" w:fill="auto"/>
            <w:noWrap/>
            <w:tcMar>
              <w:left w:w="28" w:type="dxa"/>
              <w:right w:w="28" w:type="dxa"/>
            </w:tcMar>
            <w:vAlign w:val="bottom"/>
            <w:hideMark/>
          </w:tcPr>
          <w:p w14:paraId="7ED941C9"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135</w:t>
            </w:r>
          </w:p>
        </w:tc>
        <w:tc>
          <w:tcPr>
            <w:tcW w:w="1064" w:type="dxa"/>
            <w:tcBorders>
              <w:top w:val="nil"/>
              <w:left w:val="nil"/>
              <w:bottom w:val="nil"/>
              <w:right w:val="nil"/>
            </w:tcBorders>
            <w:shd w:val="clear" w:color="auto" w:fill="auto"/>
            <w:noWrap/>
            <w:tcMar>
              <w:left w:w="28" w:type="dxa"/>
              <w:right w:w="28" w:type="dxa"/>
            </w:tcMar>
            <w:vAlign w:val="bottom"/>
            <w:hideMark/>
          </w:tcPr>
          <w:p w14:paraId="6FBDA870"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( 15.6% )</w:t>
            </w:r>
          </w:p>
        </w:tc>
        <w:tc>
          <w:tcPr>
            <w:tcW w:w="705" w:type="dxa"/>
            <w:tcBorders>
              <w:top w:val="nil"/>
              <w:left w:val="nil"/>
              <w:bottom w:val="nil"/>
              <w:right w:val="nil"/>
            </w:tcBorders>
            <w:shd w:val="clear" w:color="auto" w:fill="auto"/>
            <w:noWrap/>
            <w:tcMar>
              <w:left w:w="28" w:type="dxa"/>
              <w:right w:w="28" w:type="dxa"/>
            </w:tcMar>
            <w:vAlign w:val="bottom"/>
            <w:hideMark/>
          </w:tcPr>
          <w:p w14:paraId="59F3CA98"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33</w:t>
            </w:r>
          </w:p>
        </w:tc>
        <w:tc>
          <w:tcPr>
            <w:tcW w:w="1064" w:type="dxa"/>
            <w:tcBorders>
              <w:top w:val="nil"/>
              <w:left w:val="nil"/>
              <w:bottom w:val="nil"/>
              <w:right w:val="nil"/>
            </w:tcBorders>
            <w:shd w:val="clear" w:color="auto" w:fill="auto"/>
            <w:noWrap/>
            <w:tcMar>
              <w:left w:w="28" w:type="dxa"/>
              <w:right w:w="28" w:type="dxa"/>
            </w:tcMar>
            <w:vAlign w:val="bottom"/>
            <w:hideMark/>
          </w:tcPr>
          <w:p w14:paraId="78B0176F"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( 12.8% )</w:t>
            </w:r>
          </w:p>
        </w:tc>
        <w:tc>
          <w:tcPr>
            <w:tcW w:w="679" w:type="dxa"/>
            <w:tcBorders>
              <w:top w:val="nil"/>
              <w:left w:val="nil"/>
              <w:bottom w:val="nil"/>
              <w:right w:val="nil"/>
            </w:tcBorders>
            <w:shd w:val="clear" w:color="auto" w:fill="auto"/>
            <w:noWrap/>
            <w:tcMar>
              <w:left w:w="28" w:type="dxa"/>
              <w:right w:w="28" w:type="dxa"/>
            </w:tcMar>
            <w:vAlign w:val="bottom"/>
            <w:hideMark/>
          </w:tcPr>
          <w:p w14:paraId="168004F3"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1.58</w:t>
            </w:r>
          </w:p>
        </w:tc>
        <w:tc>
          <w:tcPr>
            <w:tcW w:w="798" w:type="dxa"/>
            <w:tcBorders>
              <w:top w:val="nil"/>
              <w:left w:val="nil"/>
              <w:bottom w:val="nil"/>
              <w:right w:val="nil"/>
            </w:tcBorders>
            <w:shd w:val="clear" w:color="auto" w:fill="auto"/>
            <w:noWrap/>
            <w:tcMar>
              <w:left w:w="28" w:type="dxa"/>
              <w:right w:w="28" w:type="dxa"/>
            </w:tcMar>
            <w:vAlign w:val="bottom"/>
            <w:hideMark/>
          </w:tcPr>
          <w:p w14:paraId="484A8910"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0.454</w:t>
            </w:r>
          </w:p>
        </w:tc>
      </w:tr>
      <w:tr w:rsidR="006F272E" w:rsidRPr="006F272E" w14:paraId="17CF3021"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32137F18"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Suicidal ideation (past year)</w:t>
            </w:r>
          </w:p>
        </w:tc>
        <w:tc>
          <w:tcPr>
            <w:tcW w:w="851" w:type="dxa"/>
            <w:tcBorders>
              <w:top w:val="nil"/>
              <w:left w:val="nil"/>
              <w:right w:val="nil"/>
            </w:tcBorders>
            <w:vAlign w:val="bottom"/>
          </w:tcPr>
          <w:p w14:paraId="30FF84ED" w14:textId="3AAAB37B" w:rsidR="006F272E" w:rsidRPr="006F272E" w:rsidRDefault="006F272E">
            <w:pPr>
              <w:jc w:val="right"/>
              <w:rPr>
                <w:rFonts w:ascii="Calibri" w:hAnsi="Calibri" w:cs="Calibri"/>
                <w:color w:val="000000"/>
                <w:sz w:val="20"/>
                <w:szCs w:val="22"/>
              </w:rPr>
            </w:pPr>
            <w:r>
              <w:rPr>
                <w:rFonts w:ascii="Calibri" w:hAnsi="Calibri" w:cs="Calibri"/>
                <w:color w:val="000000"/>
                <w:sz w:val="20"/>
                <w:szCs w:val="22"/>
              </w:rPr>
              <w:t>1323</w:t>
            </w:r>
          </w:p>
        </w:tc>
        <w:tc>
          <w:tcPr>
            <w:tcW w:w="993" w:type="dxa"/>
            <w:tcBorders>
              <w:top w:val="nil"/>
              <w:left w:val="nil"/>
              <w:right w:val="nil"/>
            </w:tcBorders>
            <w:vAlign w:val="bottom"/>
          </w:tcPr>
          <w:p w14:paraId="559B3D55" w14:textId="41B45152" w:rsidR="006F272E" w:rsidRPr="006F272E" w:rsidRDefault="006F272E" w:rsidP="000763B1">
            <w:pPr>
              <w:rPr>
                <w:rFonts w:ascii="Calibri" w:hAnsi="Calibri" w:cs="Calibri"/>
                <w:color w:val="000000"/>
                <w:sz w:val="20"/>
                <w:szCs w:val="22"/>
              </w:rPr>
            </w:pPr>
            <w:r w:rsidRPr="000763B1">
              <w:rPr>
                <w:rFonts w:ascii="Calibri" w:hAnsi="Calibri" w:cs="Calibri"/>
                <w:color w:val="000000"/>
                <w:sz w:val="20"/>
                <w:szCs w:val="22"/>
              </w:rPr>
              <w:t>( 56.4% )</w:t>
            </w:r>
          </w:p>
        </w:tc>
        <w:tc>
          <w:tcPr>
            <w:tcW w:w="851" w:type="dxa"/>
            <w:tcBorders>
              <w:top w:val="nil"/>
              <w:left w:val="nil"/>
              <w:right w:val="nil"/>
            </w:tcBorders>
            <w:shd w:val="clear" w:color="auto" w:fill="auto"/>
            <w:noWrap/>
            <w:tcMar>
              <w:left w:w="28" w:type="dxa"/>
              <w:right w:w="28" w:type="dxa"/>
            </w:tcMar>
            <w:vAlign w:val="bottom"/>
            <w:hideMark/>
          </w:tcPr>
          <w:p w14:paraId="3F8CB96D"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672</w:t>
            </w:r>
          </w:p>
        </w:tc>
        <w:tc>
          <w:tcPr>
            <w:tcW w:w="1089" w:type="dxa"/>
            <w:tcBorders>
              <w:top w:val="nil"/>
              <w:left w:val="nil"/>
              <w:right w:val="nil"/>
            </w:tcBorders>
            <w:shd w:val="clear" w:color="auto" w:fill="auto"/>
            <w:noWrap/>
            <w:tcMar>
              <w:left w:w="28" w:type="dxa"/>
              <w:right w:w="28" w:type="dxa"/>
            </w:tcMar>
            <w:vAlign w:val="bottom"/>
            <w:hideMark/>
          </w:tcPr>
          <w:p w14:paraId="14B25262"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( 53.8% )</w:t>
            </w:r>
          </w:p>
        </w:tc>
        <w:tc>
          <w:tcPr>
            <w:tcW w:w="705" w:type="dxa"/>
            <w:tcBorders>
              <w:top w:val="nil"/>
              <w:left w:val="nil"/>
              <w:right w:val="nil"/>
            </w:tcBorders>
            <w:shd w:val="clear" w:color="auto" w:fill="auto"/>
            <w:noWrap/>
            <w:tcMar>
              <w:left w:w="28" w:type="dxa"/>
              <w:right w:w="28" w:type="dxa"/>
            </w:tcMar>
            <w:vAlign w:val="bottom"/>
            <w:hideMark/>
          </w:tcPr>
          <w:p w14:paraId="180F2D88"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497</w:t>
            </w:r>
          </w:p>
        </w:tc>
        <w:tc>
          <w:tcPr>
            <w:tcW w:w="1064" w:type="dxa"/>
            <w:tcBorders>
              <w:top w:val="nil"/>
              <w:left w:val="nil"/>
              <w:right w:val="nil"/>
            </w:tcBorders>
            <w:shd w:val="clear" w:color="auto" w:fill="auto"/>
            <w:noWrap/>
            <w:tcMar>
              <w:left w:w="28" w:type="dxa"/>
              <w:right w:w="28" w:type="dxa"/>
            </w:tcMar>
            <w:vAlign w:val="bottom"/>
            <w:hideMark/>
          </w:tcPr>
          <w:p w14:paraId="1952692A"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( 57.3% )</w:t>
            </w:r>
          </w:p>
        </w:tc>
        <w:tc>
          <w:tcPr>
            <w:tcW w:w="705" w:type="dxa"/>
            <w:tcBorders>
              <w:top w:val="nil"/>
              <w:left w:val="nil"/>
              <w:right w:val="nil"/>
            </w:tcBorders>
            <w:shd w:val="clear" w:color="auto" w:fill="auto"/>
            <w:noWrap/>
            <w:tcMar>
              <w:left w:w="28" w:type="dxa"/>
              <w:right w:w="28" w:type="dxa"/>
            </w:tcMar>
            <w:vAlign w:val="bottom"/>
            <w:hideMark/>
          </w:tcPr>
          <w:p w14:paraId="099930ED"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154</w:t>
            </w:r>
          </w:p>
        </w:tc>
        <w:tc>
          <w:tcPr>
            <w:tcW w:w="1064" w:type="dxa"/>
            <w:tcBorders>
              <w:top w:val="nil"/>
              <w:left w:val="nil"/>
              <w:right w:val="nil"/>
            </w:tcBorders>
            <w:shd w:val="clear" w:color="auto" w:fill="auto"/>
            <w:noWrap/>
            <w:tcMar>
              <w:left w:w="28" w:type="dxa"/>
              <w:right w:w="28" w:type="dxa"/>
            </w:tcMar>
            <w:vAlign w:val="bottom"/>
            <w:hideMark/>
          </w:tcPr>
          <w:p w14:paraId="54F69E35"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( 59.7% )</w:t>
            </w:r>
          </w:p>
        </w:tc>
        <w:tc>
          <w:tcPr>
            <w:tcW w:w="679" w:type="dxa"/>
            <w:tcBorders>
              <w:top w:val="nil"/>
              <w:left w:val="nil"/>
              <w:right w:val="nil"/>
            </w:tcBorders>
            <w:shd w:val="clear" w:color="auto" w:fill="auto"/>
            <w:noWrap/>
            <w:tcMar>
              <w:left w:w="28" w:type="dxa"/>
              <w:right w:w="28" w:type="dxa"/>
            </w:tcMar>
            <w:vAlign w:val="bottom"/>
            <w:hideMark/>
          </w:tcPr>
          <w:p w14:paraId="1420343E"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4.41</w:t>
            </w:r>
          </w:p>
        </w:tc>
        <w:tc>
          <w:tcPr>
            <w:tcW w:w="798" w:type="dxa"/>
            <w:tcBorders>
              <w:top w:val="nil"/>
              <w:left w:val="nil"/>
              <w:right w:val="nil"/>
            </w:tcBorders>
            <w:shd w:val="clear" w:color="auto" w:fill="auto"/>
            <w:noWrap/>
            <w:tcMar>
              <w:left w:w="28" w:type="dxa"/>
              <w:right w:w="28" w:type="dxa"/>
            </w:tcMar>
            <w:vAlign w:val="bottom"/>
            <w:hideMark/>
          </w:tcPr>
          <w:p w14:paraId="3280F1F6" w14:textId="77777777" w:rsidR="006F272E" w:rsidRPr="006F272E" w:rsidRDefault="006F272E" w:rsidP="006F272E">
            <w:pPr>
              <w:jc w:val="center"/>
              <w:rPr>
                <w:rFonts w:ascii="Calibri" w:hAnsi="Calibri" w:cs="Calibri"/>
                <w:color w:val="000000"/>
                <w:sz w:val="20"/>
                <w:szCs w:val="22"/>
              </w:rPr>
            </w:pPr>
            <w:r w:rsidRPr="006F272E">
              <w:rPr>
                <w:rFonts w:ascii="Calibri" w:hAnsi="Calibri" w:cs="Calibri"/>
                <w:color w:val="000000"/>
                <w:sz w:val="20"/>
                <w:szCs w:val="22"/>
              </w:rPr>
              <w:t>0.110</w:t>
            </w:r>
          </w:p>
        </w:tc>
      </w:tr>
      <w:tr w:rsidR="006F272E" w:rsidRPr="006F272E" w14:paraId="4579FB35"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02761997" w14:textId="77777777" w:rsidR="006F272E" w:rsidRPr="006F272E" w:rsidRDefault="006F272E" w:rsidP="006F272E">
            <w:pPr>
              <w:jc w:val="center"/>
              <w:rPr>
                <w:sz w:val="20"/>
                <w:szCs w:val="20"/>
              </w:rPr>
            </w:pPr>
          </w:p>
        </w:tc>
        <w:tc>
          <w:tcPr>
            <w:tcW w:w="851" w:type="dxa"/>
            <w:tcBorders>
              <w:top w:val="nil"/>
              <w:left w:val="nil"/>
              <w:bottom w:val="single" w:sz="4" w:space="0" w:color="auto"/>
              <w:right w:val="nil"/>
            </w:tcBorders>
            <w:vAlign w:val="bottom"/>
          </w:tcPr>
          <w:p w14:paraId="07C060CB" w14:textId="0146AB9A"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Mean</w:t>
            </w:r>
          </w:p>
        </w:tc>
        <w:tc>
          <w:tcPr>
            <w:tcW w:w="993" w:type="dxa"/>
            <w:tcBorders>
              <w:top w:val="nil"/>
              <w:left w:val="nil"/>
              <w:bottom w:val="single" w:sz="4" w:space="0" w:color="auto"/>
              <w:right w:val="nil"/>
            </w:tcBorders>
            <w:vAlign w:val="bottom"/>
          </w:tcPr>
          <w:p w14:paraId="7A4E024B" w14:textId="0F31D318" w:rsidR="006F272E" w:rsidRPr="006F272E" w:rsidRDefault="006F272E" w:rsidP="000763B1">
            <w:pPr>
              <w:rPr>
                <w:rFonts w:ascii="Calibri" w:hAnsi="Calibri" w:cs="Calibri"/>
                <w:color w:val="000000"/>
                <w:sz w:val="20"/>
                <w:szCs w:val="22"/>
              </w:rPr>
            </w:pPr>
            <w:r w:rsidRPr="006F272E">
              <w:rPr>
                <w:rFonts w:ascii="Calibri" w:hAnsi="Calibri" w:cs="Calibri"/>
                <w:color w:val="000000"/>
                <w:sz w:val="20"/>
                <w:szCs w:val="22"/>
              </w:rPr>
              <w:t>( SD )</w:t>
            </w:r>
          </w:p>
        </w:tc>
        <w:tc>
          <w:tcPr>
            <w:tcW w:w="851" w:type="dxa"/>
            <w:tcBorders>
              <w:top w:val="nil"/>
              <w:left w:val="nil"/>
              <w:bottom w:val="single" w:sz="4" w:space="0" w:color="auto"/>
              <w:right w:val="nil"/>
            </w:tcBorders>
            <w:shd w:val="clear" w:color="auto" w:fill="auto"/>
            <w:noWrap/>
            <w:tcMar>
              <w:left w:w="28" w:type="dxa"/>
              <w:right w:w="28" w:type="dxa"/>
            </w:tcMar>
            <w:vAlign w:val="bottom"/>
            <w:hideMark/>
          </w:tcPr>
          <w:p w14:paraId="1DBAF113"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Mean</w:t>
            </w:r>
          </w:p>
        </w:tc>
        <w:tc>
          <w:tcPr>
            <w:tcW w:w="1089" w:type="dxa"/>
            <w:tcBorders>
              <w:top w:val="nil"/>
              <w:left w:val="nil"/>
              <w:bottom w:val="single" w:sz="4" w:space="0" w:color="auto"/>
              <w:right w:val="nil"/>
            </w:tcBorders>
            <w:shd w:val="clear" w:color="auto" w:fill="auto"/>
            <w:noWrap/>
            <w:tcMar>
              <w:left w:w="28" w:type="dxa"/>
              <w:right w:w="28" w:type="dxa"/>
            </w:tcMar>
            <w:vAlign w:val="bottom"/>
            <w:hideMark/>
          </w:tcPr>
          <w:p w14:paraId="27BF1795"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SD )</w:t>
            </w:r>
          </w:p>
        </w:tc>
        <w:tc>
          <w:tcPr>
            <w:tcW w:w="705" w:type="dxa"/>
            <w:tcBorders>
              <w:top w:val="nil"/>
              <w:left w:val="nil"/>
              <w:bottom w:val="single" w:sz="4" w:space="0" w:color="auto"/>
              <w:right w:val="nil"/>
            </w:tcBorders>
            <w:shd w:val="clear" w:color="auto" w:fill="auto"/>
            <w:noWrap/>
            <w:tcMar>
              <w:left w:w="28" w:type="dxa"/>
              <w:right w:w="28" w:type="dxa"/>
            </w:tcMar>
            <w:vAlign w:val="bottom"/>
            <w:hideMark/>
          </w:tcPr>
          <w:p w14:paraId="68F87303"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Mean</w:t>
            </w:r>
          </w:p>
        </w:tc>
        <w:tc>
          <w:tcPr>
            <w:tcW w:w="1064" w:type="dxa"/>
            <w:tcBorders>
              <w:top w:val="nil"/>
              <w:left w:val="nil"/>
              <w:bottom w:val="single" w:sz="4" w:space="0" w:color="auto"/>
              <w:right w:val="nil"/>
            </w:tcBorders>
            <w:shd w:val="clear" w:color="auto" w:fill="auto"/>
            <w:noWrap/>
            <w:tcMar>
              <w:left w:w="28" w:type="dxa"/>
              <w:right w:w="28" w:type="dxa"/>
            </w:tcMar>
            <w:vAlign w:val="bottom"/>
            <w:hideMark/>
          </w:tcPr>
          <w:p w14:paraId="1E6129A9"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SD )</w:t>
            </w:r>
          </w:p>
        </w:tc>
        <w:tc>
          <w:tcPr>
            <w:tcW w:w="705" w:type="dxa"/>
            <w:tcBorders>
              <w:top w:val="nil"/>
              <w:left w:val="nil"/>
              <w:bottom w:val="single" w:sz="4" w:space="0" w:color="auto"/>
              <w:right w:val="nil"/>
            </w:tcBorders>
            <w:shd w:val="clear" w:color="auto" w:fill="auto"/>
            <w:noWrap/>
            <w:tcMar>
              <w:left w:w="28" w:type="dxa"/>
              <w:right w:w="28" w:type="dxa"/>
            </w:tcMar>
            <w:vAlign w:val="bottom"/>
            <w:hideMark/>
          </w:tcPr>
          <w:p w14:paraId="1087FDA2" w14:textId="77777777" w:rsidR="006F272E" w:rsidRPr="006F272E" w:rsidRDefault="006F272E" w:rsidP="006F272E">
            <w:pPr>
              <w:jc w:val="right"/>
              <w:rPr>
                <w:rFonts w:ascii="Calibri" w:hAnsi="Calibri" w:cs="Calibri"/>
                <w:color w:val="000000"/>
                <w:sz w:val="20"/>
                <w:szCs w:val="22"/>
              </w:rPr>
            </w:pPr>
            <w:r w:rsidRPr="006F272E">
              <w:rPr>
                <w:rFonts w:ascii="Calibri" w:hAnsi="Calibri" w:cs="Calibri"/>
                <w:color w:val="000000"/>
                <w:sz w:val="20"/>
                <w:szCs w:val="22"/>
              </w:rPr>
              <w:t>Mean</w:t>
            </w:r>
          </w:p>
        </w:tc>
        <w:tc>
          <w:tcPr>
            <w:tcW w:w="1064" w:type="dxa"/>
            <w:tcBorders>
              <w:top w:val="nil"/>
              <w:left w:val="nil"/>
              <w:bottom w:val="single" w:sz="4" w:space="0" w:color="auto"/>
              <w:right w:val="nil"/>
            </w:tcBorders>
            <w:shd w:val="clear" w:color="auto" w:fill="auto"/>
            <w:noWrap/>
            <w:tcMar>
              <w:left w:w="28" w:type="dxa"/>
              <w:right w:w="28" w:type="dxa"/>
            </w:tcMar>
            <w:vAlign w:val="bottom"/>
            <w:hideMark/>
          </w:tcPr>
          <w:p w14:paraId="4C19DD08" w14:textId="77777777" w:rsidR="006F272E" w:rsidRPr="006F272E" w:rsidRDefault="006F272E" w:rsidP="006F272E">
            <w:pPr>
              <w:rPr>
                <w:rFonts w:ascii="Calibri" w:hAnsi="Calibri" w:cs="Calibri"/>
                <w:color w:val="000000"/>
                <w:sz w:val="20"/>
                <w:szCs w:val="22"/>
              </w:rPr>
            </w:pPr>
            <w:r w:rsidRPr="006F272E">
              <w:rPr>
                <w:rFonts w:ascii="Calibri" w:hAnsi="Calibri" w:cs="Calibri"/>
                <w:color w:val="000000"/>
                <w:sz w:val="20"/>
                <w:szCs w:val="22"/>
              </w:rPr>
              <w:t>( SD )</w:t>
            </w:r>
          </w:p>
        </w:tc>
        <w:tc>
          <w:tcPr>
            <w:tcW w:w="679" w:type="dxa"/>
            <w:tcBorders>
              <w:top w:val="nil"/>
              <w:left w:val="nil"/>
              <w:bottom w:val="single" w:sz="4" w:space="0" w:color="auto"/>
              <w:right w:val="nil"/>
            </w:tcBorders>
            <w:shd w:val="clear" w:color="auto" w:fill="auto"/>
            <w:noWrap/>
            <w:tcMar>
              <w:left w:w="28" w:type="dxa"/>
              <w:right w:w="28" w:type="dxa"/>
            </w:tcMar>
            <w:vAlign w:val="bottom"/>
            <w:hideMark/>
          </w:tcPr>
          <w:p w14:paraId="17416A0E" w14:textId="77777777" w:rsidR="006F272E" w:rsidRPr="006F272E" w:rsidRDefault="006F272E" w:rsidP="006F272E">
            <w:pPr>
              <w:jc w:val="center"/>
              <w:rPr>
                <w:rFonts w:ascii="Calibri" w:hAnsi="Calibri" w:cs="Calibri"/>
                <w:i/>
                <w:color w:val="000000"/>
                <w:sz w:val="20"/>
                <w:szCs w:val="22"/>
              </w:rPr>
            </w:pPr>
            <w:r w:rsidRPr="006F272E">
              <w:rPr>
                <w:rFonts w:ascii="Calibri" w:hAnsi="Calibri" w:cs="Calibri"/>
                <w:i/>
                <w:color w:val="000000"/>
                <w:sz w:val="20"/>
                <w:szCs w:val="22"/>
              </w:rPr>
              <w:t>F</w:t>
            </w:r>
          </w:p>
        </w:tc>
        <w:tc>
          <w:tcPr>
            <w:tcW w:w="798" w:type="dxa"/>
            <w:tcBorders>
              <w:top w:val="nil"/>
              <w:left w:val="nil"/>
              <w:bottom w:val="single" w:sz="4" w:space="0" w:color="auto"/>
              <w:right w:val="nil"/>
            </w:tcBorders>
            <w:shd w:val="clear" w:color="auto" w:fill="auto"/>
            <w:noWrap/>
            <w:tcMar>
              <w:left w:w="28" w:type="dxa"/>
              <w:right w:w="28" w:type="dxa"/>
            </w:tcMar>
            <w:vAlign w:val="bottom"/>
            <w:hideMark/>
          </w:tcPr>
          <w:p w14:paraId="438E4F03" w14:textId="77777777" w:rsidR="006F272E" w:rsidRPr="006F272E" w:rsidRDefault="006F272E" w:rsidP="006F272E">
            <w:pPr>
              <w:jc w:val="center"/>
              <w:rPr>
                <w:rFonts w:ascii="Calibri" w:hAnsi="Calibri" w:cs="Calibri"/>
                <w:i/>
                <w:color w:val="000000"/>
                <w:sz w:val="20"/>
                <w:szCs w:val="22"/>
              </w:rPr>
            </w:pPr>
            <w:r w:rsidRPr="006F272E">
              <w:rPr>
                <w:rFonts w:ascii="Calibri" w:hAnsi="Calibri" w:cs="Calibri"/>
                <w:i/>
                <w:color w:val="000000"/>
                <w:sz w:val="20"/>
                <w:szCs w:val="22"/>
              </w:rPr>
              <w:t>p</w:t>
            </w:r>
          </w:p>
        </w:tc>
      </w:tr>
      <w:tr w:rsidR="007E656A" w:rsidRPr="006F272E" w14:paraId="23746CC3"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73A70747"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Years of education</w:t>
            </w:r>
          </w:p>
        </w:tc>
        <w:tc>
          <w:tcPr>
            <w:tcW w:w="851" w:type="dxa"/>
            <w:tcBorders>
              <w:top w:val="single" w:sz="4" w:space="0" w:color="auto"/>
              <w:left w:val="nil"/>
              <w:bottom w:val="nil"/>
              <w:right w:val="nil"/>
            </w:tcBorders>
            <w:vAlign w:val="bottom"/>
          </w:tcPr>
          <w:p w14:paraId="69CF25A1" w14:textId="41B284C4" w:rsidR="007E656A" w:rsidRPr="006F272E" w:rsidRDefault="007E656A" w:rsidP="007E656A">
            <w:pPr>
              <w:jc w:val="right"/>
              <w:rPr>
                <w:rFonts w:ascii="Calibri" w:hAnsi="Calibri" w:cs="Calibri"/>
                <w:color w:val="000000"/>
                <w:sz w:val="20"/>
                <w:szCs w:val="22"/>
              </w:rPr>
            </w:pPr>
            <w:r>
              <w:rPr>
                <w:rFonts w:ascii="Calibri" w:hAnsi="Calibri" w:cs="Calibri"/>
                <w:color w:val="000000"/>
                <w:sz w:val="20"/>
                <w:szCs w:val="20"/>
              </w:rPr>
              <w:t>15.22</w:t>
            </w:r>
          </w:p>
        </w:tc>
        <w:tc>
          <w:tcPr>
            <w:tcW w:w="993" w:type="dxa"/>
            <w:tcBorders>
              <w:top w:val="single" w:sz="4" w:space="0" w:color="auto"/>
              <w:left w:val="nil"/>
              <w:bottom w:val="nil"/>
              <w:right w:val="nil"/>
            </w:tcBorders>
            <w:vAlign w:val="bottom"/>
          </w:tcPr>
          <w:p w14:paraId="4AE36EA0" w14:textId="1A845027" w:rsidR="007E656A" w:rsidRPr="006F272E" w:rsidRDefault="007E656A" w:rsidP="000763B1">
            <w:pPr>
              <w:rPr>
                <w:rFonts w:ascii="Calibri" w:hAnsi="Calibri" w:cs="Calibri"/>
                <w:color w:val="000000"/>
                <w:sz w:val="20"/>
                <w:szCs w:val="22"/>
              </w:rPr>
            </w:pPr>
            <w:r>
              <w:rPr>
                <w:rFonts w:ascii="Calibri" w:hAnsi="Calibri" w:cs="Calibri"/>
                <w:color w:val="000000"/>
                <w:sz w:val="20"/>
                <w:szCs w:val="20"/>
              </w:rPr>
              <w:t>( 2.25 )</w:t>
            </w:r>
          </w:p>
        </w:tc>
        <w:tc>
          <w:tcPr>
            <w:tcW w:w="851" w:type="dxa"/>
            <w:tcBorders>
              <w:top w:val="single" w:sz="4" w:space="0" w:color="auto"/>
              <w:left w:val="nil"/>
              <w:bottom w:val="nil"/>
              <w:right w:val="nil"/>
            </w:tcBorders>
            <w:shd w:val="clear" w:color="auto" w:fill="auto"/>
            <w:noWrap/>
            <w:tcMar>
              <w:left w:w="28" w:type="dxa"/>
              <w:right w:w="28" w:type="dxa"/>
            </w:tcMar>
            <w:vAlign w:val="bottom"/>
            <w:hideMark/>
          </w:tcPr>
          <w:p w14:paraId="1217C180"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15.49</w:t>
            </w:r>
          </w:p>
        </w:tc>
        <w:tc>
          <w:tcPr>
            <w:tcW w:w="1089" w:type="dxa"/>
            <w:tcBorders>
              <w:top w:val="single" w:sz="4" w:space="0" w:color="auto"/>
              <w:left w:val="nil"/>
              <w:bottom w:val="nil"/>
              <w:right w:val="nil"/>
            </w:tcBorders>
            <w:shd w:val="clear" w:color="auto" w:fill="auto"/>
            <w:noWrap/>
            <w:tcMar>
              <w:left w:w="28" w:type="dxa"/>
              <w:right w:w="28" w:type="dxa"/>
            </w:tcMar>
            <w:vAlign w:val="bottom"/>
            <w:hideMark/>
          </w:tcPr>
          <w:p w14:paraId="34670904"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( 2.22 )</w:t>
            </w:r>
          </w:p>
        </w:tc>
        <w:tc>
          <w:tcPr>
            <w:tcW w:w="705" w:type="dxa"/>
            <w:tcBorders>
              <w:top w:val="single" w:sz="4" w:space="0" w:color="auto"/>
              <w:left w:val="nil"/>
              <w:bottom w:val="nil"/>
              <w:right w:val="nil"/>
            </w:tcBorders>
            <w:shd w:val="clear" w:color="auto" w:fill="auto"/>
            <w:noWrap/>
            <w:tcMar>
              <w:left w:w="28" w:type="dxa"/>
              <w:right w:w="28" w:type="dxa"/>
            </w:tcMar>
            <w:vAlign w:val="bottom"/>
            <w:hideMark/>
          </w:tcPr>
          <w:p w14:paraId="6FD1BD29"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14.88</w:t>
            </w:r>
          </w:p>
        </w:tc>
        <w:tc>
          <w:tcPr>
            <w:tcW w:w="1064" w:type="dxa"/>
            <w:tcBorders>
              <w:top w:val="single" w:sz="4" w:space="0" w:color="auto"/>
              <w:left w:val="nil"/>
              <w:bottom w:val="nil"/>
              <w:right w:val="nil"/>
            </w:tcBorders>
            <w:shd w:val="clear" w:color="auto" w:fill="auto"/>
            <w:noWrap/>
            <w:tcMar>
              <w:left w:w="28" w:type="dxa"/>
              <w:right w:w="28" w:type="dxa"/>
            </w:tcMar>
            <w:vAlign w:val="bottom"/>
            <w:hideMark/>
          </w:tcPr>
          <w:p w14:paraId="5C52BE83"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( 2.21 )</w:t>
            </w:r>
          </w:p>
        </w:tc>
        <w:tc>
          <w:tcPr>
            <w:tcW w:w="705" w:type="dxa"/>
            <w:tcBorders>
              <w:top w:val="single" w:sz="4" w:space="0" w:color="auto"/>
              <w:left w:val="nil"/>
              <w:bottom w:val="nil"/>
              <w:right w:val="nil"/>
            </w:tcBorders>
            <w:shd w:val="clear" w:color="auto" w:fill="auto"/>
            <w:noWrap/>
            <w:tcMar>
              <w:left w:w="28" w:type="dxa"/>
              <w:right w:w="28" w:type="dxa"/>
            </w:tcMar>
            <w:vAlign w:val="bottom"/>
            <w:hideMark/>
          </w:tcPr>
          <w:p w14:paraId="6D6381BA"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15.09</w:t>
            </w:r>
          </w:p>
        </w:tc>
        <w:tc>
          <w:tcPr>
            <w:tcW w:w="1064" w:type="dxa"/>
            <w:tcBorders>
              <w:top w:val="single" w:sz="4" w:space="0" w:color="auto"/>
              <w:left w:val="nil"/>
              <w:bottom w:val="nil"/>
              <w:right w:val="nil"/>
            </w:tcBorders>
            <w:shd w:val="clear" w:color="auto" w:fill="auto"/>
            <w:noWrap/>
            <w:tcMar>
              <w:left w:w="28" w:type="dxa"/>
              <w:right w:w="28" w:type="dxa"/>
            </w:tcMar>
            <w:vAlign w:val="bottom"/>
            <w:hideMark/>
          </w:tcPr>
          <w:p w14:paraId="1D74AA1E"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( 2.34 )</w:t>
            </w:r>
          </w:p>
        </w:tc>
        <w:tc>
          <w:tcPr>
            <w:tcW w:w="679" w:type="dxa"/>
            <w:tcBorders>
              <w:top w:val="single" w:sz="4" w:space="0" w:color="auto"/>
              <w:left w:val="nil"/>
              <w:bottom w:val="nil"/>
              <w:right w:val="nil"/>
            </w:tcBorders>
            <w:shd w:val="clear" w:color="auto" w:fill="auto"/>
            <w:noWrap/>
            <w:tcMar>
              <w:left w:w="28" w:type="dxa"/>
              <w:right w:w="28" w:type="dxa"/>
            </w:tcMar>
            <w:vAlign w:val="bottom"/>
            <w:hideMark/>
          </w:tcPr>
          <w:p w14:paraId="1FAF09F5" w14:textId="77777777" w:rsidR="007E656A" w:rsidRPr="006F272E" w:rsidRDefault="007E656A" w:rsidP="007E656A">
            <w:pPr>
              <w:jc w:val="center"/>
              <w:rPr>
                <w:rFonts w:ascii="Calibri" w:hAnsi="Calibri" w:cs="Calibri"/>
                <w:color w:val="000000"/>
                <w:sz w:val="20"/>
                <w:szCs w:val="22"/>
              </w:rPr>
            </w:pPr>
            <w:r w:rsidRPr="006F272E">
              <w:rPr>
                <w:rFonts w:ascii="Calibri" w:hAnsi="Calibri" w:cs="Calibri"/>
                <w:color w:val="000000"/>
                <w:sz w:val="20"/>
                <w:szCs w:val="22"/>
              </w:rPr>
              <w:t>19.49</w:t>
            </w:r>
          </w:p>
        </w:tc>
        <w:tc>
          <w:tcPr>
            <w:tcW w:w="798" w:type="dxa"/>
            <w:tcBorders>
              <w:top w:val="single" w:sz="4" w:space="0" w:color="auto"/>
              <w:left w:val="nil"/>
              <w:bottom w:val="nil"/>
              <w:right w:val="nil"/>
            </w:tcBorders>
            <w:shd w:val="clear" w:color="auto" w:fill="auto"/>
            <w:noWrap/>
            <w:tcMar>
              <w:left w:w="28" w:type="dxa"/>
              <w:right w:w="28" w:type="dxa"/>
            </w:tcMar>
            <w:vAlign w:val="bottom"/>
            <w:hideMark/>
          </w:tcPr>
          <w:p w14:paraId="191DB34E" w14:textId="77777777" w:rsidR="007E656A" w:rsidRPr="006F272E" w:rsidRDefault="007E656A" w:rsidP="007E656A">
            <w:pPr>
              <w:jc w:val="center"/>
              <w:rPr>
                <w:rFonts w:ascii="Calibri" w:hAnsi="Calibri" w:cs="Calibri"/>
                <w:b/>
                <w:bCs/>
                <w:color w:val="000000"/>
                <w:sz w:val="20"/>
                <w:szCs w:val="22"/>
              </w:rPr>
            </w:pPr>
            <w:r w:rsidRPr="006F272E">
              <w:rPr>
                <w:rFonts w:ascii="Calibri" w:hAnsi="Calibri" w:cs="Calibri"/>
                <w:b/>
                <w:bCs/>
                <w:color w:val="000000"/>
                <w:sz w:val="20"/>
                <w:szCs w:val="22"/>
              </w:rPr>
              <w:t>&lt;0.001</w:t>
            </w:r>
          </w:p>
        </w:tc>
      </w:tr>
      <w:tr w:rsidR="007E656A" w:rsidRPr="006F272E" w14:paraId="2848DC24" w14:textId="77777777" w:rsidTr="000763B1">
        <w:trPr>
          <w:trHeight w:val="375"/>
        </w:trPr>
        <w:tc>
          <w:tcPr>
            <w:tcW w:w="2410" w:type="dxa"/>
            <w:tcBorders>
              <w:top w:val="nil"/>
              <w:left w:val="nil"/>
              <w:bottom w:val="nil"/>
              <w:right w:val="nil"/>
            </w:tcBorders>
            <w:shd w:val="clear" w:color="auto" w:fill="auto"/>
            <w:noWrap/>
            <w:tcMar>
              <w:left w:w="28" w:type="dxa"/>
              <w:right w:w="28" w:type="dxa"/>
            </w:tcMar>
            <w:vAlign w:val="bottom"/>
            <w:hideMark/>
          </w:tcPr>
          <w:p w14:paraId="447D3BDF"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SIDAS suicidal ideation</w:t>
            </w:r>
          </w:p>
        </w:tc>
        <w:tc>
          <w:tcPr>
            <w:tcW w:w="851" w:type="dxa"/>
            <w:tcBorders>
              <w:top w:val="nil"/>
              <w:left w:val="nil"/>
              <w:bottom w:val="nil"/>
              <w:right w:val="nil"/>
            </w:tcBorders>
            <w:vAlign w:val="bottom"/>
          </w:tcPr>
          <w:p w14:paraId="136EBB59" w14:textId="65B2B55E" w:rsidR="007E656A" w:rsidRPr="006F272E" w:rsidRDefault="007E656A" w:rsidP="007E656A">
            <w:pPr>
              <w:jc w:val="right"/>
              <w:rPr>
                <w:rFonts w:ascii="Calibri" w:hAnsi="Calibri" w:cs="Calibri"/>
                <w:color w:val="000000"/>
                <w:sz w:val="20"/>
                <w:szCs w:val="22"/>
              </w:rPr>
            </w:pPr>
            <w:r>
              <w:rPr>
                <w:rFonts w:ascii="Calibri" w:hAnsi="Calibri" w:cs="Calibri"/>
                <w:color w:val="000000"/>
                <w:sz w:val="20"/>
                <w:szCs w:val="20"/>
              </w:rPr>
              <w:t>7.16</w:t>
            </w:r>
          </w:p>
        </w:tc>
        <w:tc>
          <w:tcPr>
            <w:tcW w:w="993" w:type="dxa"/>
            <w:tcBorders>
              <w:top w:val="nil"/>
              <w:left w:val="nil"/>
              <w:bottom w:val="nil"/>
              <w:right w:val="nil"/>
            </w:tcBorders>
            <w:vAlign w:val="bottom"/>
          </w:tcPr>
          <w:p w14:paraId="1A15F6F0" w14:textId="47B16838" w:rsidR="007E656A" w:rsidRPr="006F272E" w:rsidRDefault="007E656A" w:rsidP="000763B1">
            <w:pPr>
              <w:rPr>
                <w:rFonts w:ascii="Calibri" w:hAnsi="Calibri" w:cs="Calibri"/>
                <w:color w:val="000000"/>
                <w:sz w:val="20"/>
                <w:szCs w:val="22"/>
              </w:rPr>
            </w:pPr>
            <w:r>
              <w:rPr>
                <w:rFonts w:ascii="Calibri" w:hAnsi="Calibri" w:cs="Calibri"/>
                <w:color w:val="000000"/>
                <w:sz w:val="20"/>
                <w:szCs w:val="20"/>
              </w:rPr>
              <w:t>( 10.27 )</w:t>
            </w:r>
          </w:p>
        </w:tc>
        <w:tc>
          <w:tcPr>
            <w:tcW w:w="851" w:type="dxa"/>
            <w:tcBorders>
              <w:top w:val="nil"/>
              <w:left w:val="nil"/>
              <w:bottom w:val="nil"/>
              <w:right w:val="nil"/>
            </w:tcBorders>
            <w:shd w:val="clear" w:color="auto" w:fill="auto"/>
            <w:noWrap/>
            <w:tcMar>
              <w:left w:w="28" w:type="dxa"/>
              <w:right w:w="28" w:type="dxa"/>
            </w:tcMar>
            <w:vAlign w:val="bottom"/>
            <w:hideMark/>
          </w:tcPr>
          <w:p w14:paraId="57AF121A"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6.68</w:t>
            </w:r>
          </w:p>
        </w:tc>
        <w:tc>
          <w:tcPr>
            <w:tcW w:w="1089" w:type="dxa"/>
            <w:tcBorders>
              <w:top w:val="nil"/>
              <w:left w:val="nil"/>
              <w:bottom w:val="nil"/>
              <w:right w:val="nil"/>
            </w:tcBorders>
            <w:shd w:val="clear" w:color="auto" w:fill="auto"/>
            <w:noWrap/>
            <w:tcMar>
              <w:left w:w="28" w:type="dxa"/>
              <w:right w:w="28" w:type="dxa"/>
            </w:tcMar>
            <w:vAlign w:val="bottom"/>
            <w:hideMark/>
          </w:tcPr>
          <w:p w14:paraId="72566322"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( 10.06 )</w:t>
            </w:r>
          </w:p>
        </w:tc>
        <w:tc>
          <w:tcPr>
            <w:tcW w:w="705" w:type="dxa"/>
            <w:tcBorders>
              <w:top w:val="nil"/>
              <w:left w:val="nil"/>
              <w:bottom w:val="nil"/>
              <w:right w:val="nil"/>
            </w:tcBorders>
            <w:shd w:val="clear" w:color="auto" w:fill="auto"/>
            <w:noWrap/>
            <w:tcMar>
              <w:left w:w="28" w:type="dxa"/>
              <w:right w:w="28" w:type="dxa"/>
            </w:tcMar>
            <w:vAlign w:val="bottom"/>
            <w:hideMark/>
          </w:tcPr>
          <w:p w14:paraId="7725FA92"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7.99</w:t>
            </w:r>
          </w:p>
        </w:tc>
        <w:tc>
          <w:tcPr>
            <w:tcW w:w="1064" w:type="dxa"/>
            <w:tcBorders>
              <w:top w:val="nil"/>
              <w:left w:val="nil"/>
              <w:bottom w:val="nil"/>
              <w:right w:val="nil"/>
            </w:tcBorders>
            <w:shd w:val="clear" w:color="auto" w:fill="auto"/>
            <w:noWrap/>
            <w:tcMar>
              <w:left w:w="28" w:type="dxa"/>
              <w:right w:w="28" w:type="dxa"/>
            </w:tcMar>
            <w:vAlign w:val="bottom"/>
            <w:hideMark/>
          </w:tcPr>
          <w:p w14:paraId="070AB08C"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( 10.64 )</w:t>
            </w:r>
          </w:p>
        </w:tc>
        <w:tc>
          <w:tcPr>
            <w:tcW w:w="705" w:type="dxa"/>
            <w:tcBorders>
              <w:top w:val="nil"/>
              <w:left w:val="nil"/>
              <w:bottom w:val="nil"/>
              <w:right w:val="nil"/>
            </w:tcBorders>
            <w:shd w:val="clear" w:color="auto" w:fill="auto"/>
            <w:noWrap/>
            <w:tcMar>
              <w:left w:w="28" w:type="dxa"/>
              <w:right w:w="28" w:type="dxa"/>
            </w:tcMar>
            <w:vAlign w:val="bottom"/>
            <w:hideMark/>
          </w:tcPr>
          <w:p w14:paraId="4023A7ED"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6.73</w:t>
            </w:r>
          </w:p>
        </w:tc>
        <w:tc>
          <w:tcPr>
            <w:tcW w:w="1064" w:type="dxa"/>
            <w:tcBorders>
              <w:top w:val="nil"/>
              <w:left w:val="nil"/>
              <w:bottom w:val="nil"/>
              <w:right w:val="nil"/>
            </w:tcBorders>
            <w:shd w:val="clear" w:color="auto" w:fill="auto"/>
            <w:noWrap/>
            <w:tcMar>
              <w:left w:w="28" w:type="dxa"/>
              <w:right w:w="28" w:type="dxa"/>
            </w:tcMar>
            <w:vAlign w:val="bottom"/>
            <w:hideMark/>
          </w:tcPr>
          <w:p w14:paraId="32EE0A5D"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( 9.86 )</w:t>
            </w:r>
          </w:p>
        </w:tc>
        <w:tc>
          <w:tcPr>
            <w:tcW w:w="679" w:type="dxa"/>
            <w:tcBorders>
              <w:top w:val="nil"/>
              <w:left w:val="nil"/>
              <w:bottom w:val="nil"/>
              <w:right w:val="nil"/>
            </w:tcBorders>
            <w:shd w:val="clear" w:color="auto" w:fill="auto"/>
            <w:noWrap/>
            <w:tcMar>
              <w:left w:w="28" w:type="dxa"/>
              <w:right w:w="28" w:type="dxa"/>
            </w:tcMar>
            <w:vAlign w:val="bottom"/>
            <w:hideMark/>
          </w:tcPr>
          <w:p w14:paraId="71104E66" w14:textId="77777777" w:rsidR="007E656A" w:rsidRPr="006F272E" w:rsidRDefault="007E656A" w:rsidP="007E656A">
            <w:pPr>
              <w:jc w:val="center"/>
              <w:rPr>
                <w:rFonts w:ascii="Calibri" w:hAnsi="Calibri" w:cs="Calibri"/>
                <w:color w:val="000000"/>
                <w:sz w:val="20"/>
                <w:szCs w:val="22"/>
              </w:rPr>
            </w:pPr>
            <w:r w:rsidRPr="006F272E">
              <w:rPr>
                <w:rFonts w:ascii="Calibri" w:hAnsi="Calibri" w:cs="Calibri"/>
                <w:color w:val="000000"/>
                <w:sz w:val="20"/>
                <w:szCs w:val="22"/>
              </w:rPr>
              <w:t>4.40</w:t>
            </w:r>
          </w:p>
        </w:tc>
        <w:tc>
          <w:tcPr>
            <w:tcW w:w="798" w:type="dxa"/>
            <w:tcBorders>
              <w:top w:val="nil"/>
              <w:left w:val="nil"/>
              <w:bottom w:val="nil"/>
              <w:right w:val="nil"/>
            </w:tcBorders>
            <w:shd w:val="clear" w:color="auto" w:fill="auto"/>
            <w:noWrap/>
            <w:tcMar>
              <w:left w:w="28" w:type="dxa"/>
              <w:right w:w="28" w:type="dxa"/>
            </w:tcMar>
            <w:vAlign w:val="bottom"/>
            <w:hideMark/>
          </w:tcPr>
          <w:p w14:paraId="199C9D3D" w14:textId="77777777" w:rsidR="007E656A" w:rsidRPr="006F272E" w:rsidRDefault="007E656A" w:rsidP="007E656A">
            <w:pPr>
              <w:jc w:val="center"/>
              <w:rPr>
                <w:rFonts w:ascii="Calibri" w:hAnsi="Calibri" w:cs="Calibri"/>
                <w:b/>
                <w:bCs/>
                <w:color w:val="000000"/>
                <w:sz w:val="20"/>
                <w:szCs w:val="22"/>
              </w:rPr>
            </w:pPr>
            <w:r w:rsidRPr="006F272E">
              <w:rPr>
                <w:rFonts w:ascii="Calibri" w:hAnsi="Calibri" w:cs="Calibri"/>
                <w:b/>
                <w:bCs/>
                <w:color w:val="000000"/>
                <w:sz w:val="20"/>
                <w:szCs w:val="22"/>
              </w:rPr>
              <w:t>0.012</w:t>
            </w:r>
          </w:p>
        </w:tc>
      </w:tr>
      <w:tr w:rsidR="007E656A" w:rsidRPr="006F272E" w14:paraId="68C23DBE" w14:textId="77777777" w:rsidTr="000763B1">
        <w:trPr>
          <w:trHeight w:val="375"/>
        </w:trPr>
        <w:tc>
          <w:tcPr>
            <w:tcW w:w="2410" w:type="dxa"/>
            <w:tcBorders>
              <w:top w:val="nil"/>
              <w:left w:val="nil"/>
              <w:right w:val="nil"/>
            </w:tcBorders>
            <w:shd w:val="clear" w:color="auto" w:fill="auto"/>
            <w:noWrap/>
            <w:tcMar>
              <w:left w:w="28" w:type="dxa"/>
              <w:right w:w="28" w:type="dxa"/>
            </w:tcMar>
            <w:vAlign w:val="bottom"/>
            <w:hideMark/>
          </w:tcPr>
          <w:p w14:paraId="0E3226A6"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lastRenderedPageBreak/>
              <w:t>SOSS suicide stigma</w:t>
            </w:r>
          </w:p>
        </w:tc>
        <w:tc>
          <w:tcPr>
            <w:tcW w:w="851" w:type="dxa"/>
            <w:tcBorders>
              <w:top w:val="nil"/>
              <w:left w:val="nil"/>
              <w:right w:val="nil"/>
            </w:tcBorders>
            <w:vAlign w:val="bottom"/>
          </w:tcPr>
          <w:p w14:paraId="3501726A" w14:textId="76317DCF" w:rsidR="007E656A" w:rsidRPr="006F272E" w:rsidRDefault="007E656A" w:rsidP="007E656A">
            <w:pPr>
              <w:jc w:val="right"/>
              <w:rPr>
                <w:rFonts w:ascii="Calibri" w:hAnsi="Calibri" w:cs="Calibri"/>
                <w:color w:val="000000"/>
                <w:sz w:val="20"/>
                <w:szCs w:val="22"/>
              </w:rPr>
            </w:pPr>
            <w:r>
              <w:rPr>
                <w:rFonts w:ascii="Calibri" w:hAnsi="Calibri" w:cs="Calibri"/>
                <w:color w:val="000000"/>
                <w:sz w:val="20"/>
                <w:szCs w:val="20"/>
              </w:rPr>
              <w:t>14.52</w:t>
            </w:r>
          </w:p>
        </w:tc>
        <w:tc>
          <w:tcPr>
            <w:tcW w:w="993" w:type="dxa"/>
            <w:tcBorders>
              <w:top w:val="nil"/>
              <w:left w:val="nil"/>
              <w:right w:val="nil"/>
            </w:tcBorders>
            <w:vAlign w:val="bottom"/>
          </w:tcPr>
          <w:p w14:paraId="138F2A9F" w14:textId="1D6C269D" w:rsidR="007E656A" w:rsidRPr="006F272E" w:rsidRDefault="007E656A" w:rsidP="000763B1">
            <w:pPr>
              <w:rPr>
                <w:rFonts w:ascii="Calibri" w:hAnsi="Calibri" w:cs="Calibri"/>
                <w:color w:val="000000"/>
                <w:sz w:val="20"/>
                <w:szCs w:val="22"/>
              </w:rPr>
            </w:pPr>
            <w:r>
              <w:rPr>
                <w:rFonts w:ascii="Calibri" w:hAnsi="Calibri" w:cs="Calibri"/>
                <w:color w:val="000000"/>
                <w:sz w:val="20"/>
                <w:szCs w:val="20"/>
              </w:rPr>
              <w:t>( 6.34 )</w:t>
            </w:r>
          </w:p>
        </w:tc>
        <w:tc>
          <w:tcPr>
            <w:tcW w:w="851" w:type="dxa"/>
            <w:tcBorders>
              <w:top w:val="nil"/>
              <w:left w:val="nil"/>
              <w:right w:val="nil"/>
            </w:tcBorders>
            <w:shd w:val="clear" w:color="auto" w:fill="auto"/>
            <w:noWrap/>
            <w:tcMar>
              <w:left w:w="28" w:type="dxa"/>
              <w:right w:w="28" w:type="dxa"/>
            </w:tcMar>
            <w:vAlign w:val="bottom"/>
            <w:hideMark/>
          </w:tcPr>
          <w:p w14:paraId="7662CEA1"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14.44</w:t>
            </w:r>
          </w:p>
        </w:tc>
        <w:tc>
          <w:tcPr>
            <w:tcW w:w="1089" w:type="dxa"/>
            <w:tcBorders>
              <w:top w:val="nil"/>
              <w:left w:val="nil"/>
              <w:right w:val="nil"/>
            </w:tcBorders>
            <w:shd w:val="clear" w:color="auto" w:fill="auto"/>
            <w:noWrap/>
            <w:tcMar>
              <w:left w:w="28" w:type="dxa"/>
              <w:right w:w="28" w:type="dxa"/>
            </w:tcMar>
            <w:vAlign w:val="bottom"/>
            <w:hideMark/>
          </w:tcPr>
          <w:p w14:paraId="479DF185"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( 6.33 )</w:t>
            </w:r>
          </w:p>
        </w:tc>
        <w:tc>
          <w:tcPr>
            <w:tcW w:w="705" w:type="dxa"/>
            <w:tcBorders>
              <w:top w:val="nil"/>
              <w:left w:val="nil"/>
              <w:right w:val="nil"/>
            </w:tcBorders>
            <w:shd w:val="clear" w:color="auto" w:fill="auto"/>
            <w:noWrap/>
            <w:tcMar>
              <w:left w:w="28" w:type="dxa"/>
              <w:right w:w="28" w:type="dxa"/>
            </w:tcMar>
            <w:vAlign w:val="bottom"/>
            <w:hideMark/>
          </w:tcPr>
          <w:p w14:paraId="11475F0D"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14.56</w:t>
            </w:r>
          </w:p>
        </w:tc>
        <w:tc>
          <w:tcPr>
            <w:tcW w:w="1064" w:type="dxa"/>
            <w:tcBorders>
              <w:top w:val="nil"/>
              <w:left w:val="nil"/>
              <w:right w:val="nil"/>
            </w:tcBorders>
            <w:shd w:val="clear" w:color="auto" w:fill="auto"/>
            <w:noWrap/>
            <w:tcMar>
              <w:left w:w="28" w:type="dxa"/>
              <w:right w:w="28" w:type="dxa"/>
            </w:tcMar>
            <w:vAlign w:val="bottom"/>
            <w:hideMark/>
          </w:tcPr>
          <w:p w14:paraId="7A162021"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( 6.33 )</w:t>
            </w:r>
          </w:p>
        </w:tc>
        <w:tc>
          <w:tcPr>
            <w:tcW w:w="705" w:type="dxa"/>
            <w:tcBorders>
              <w:top w:val="nil"/>
              <w:left w:val="nil"/>
              <w:right w:val="nil"/>
            </w:tcBorders>
            <w:shd w:val="clear" w:color="auto" w:fill="auto"/>
            <w:noWrap/>
            <w:tcMar>
              <w:left w:w="28" w:type="dxa"/>
              <w:right w:w="28" w:type="dxa"/>
            </w:tcMar>
            <w:vAlign w:val="bottom"/>
            <w:hideMark/>
          </w:tcPr>
          <w:p w14:paraId="3DDB8AD9"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14.75</w:t>
            </w:r>
          </w:p>
        </w:tc>
        <w:tc>
          <w:tcPr>
            <w:tcW w:w="1064" w:type="dxa"/>
            <w:tcBorders>
              <w:top w:val="nil"/>
              <w:left w:val="nil"/>
              <w:right w:val="nil"/>
            </w:tcBorders>
            <w:shd w:val="clear" w:color="auto" w:fill="auto"/>
            <w:noWrap/>
            <w:tcMar>
              <w:left w:w="28" w:type="dxa"/>
              <w:right w:w="28" w:type="dxa"/>
            </w:tcMar>
            <w:vAlign w:val="bottom"/>
            <w:hideMark/>
          </w:tcPr>
          <w:p w14:paraId="2A6A8039"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( 6.45 )</w:t>
            </w:r>
          </w:p>
        </w:tc>
        <w:tc>
          <w:tcPr>
            <w:tcW w:w="679" w:type="dxa"/>
            <w:tcBorders>
              <w:top w:val="nil"/>
              <w:left w:val="nil"/>
              <w:right w:val="nil"/>
            </w:tcBorders>
            <w:shd w:val="clear" w:color="auto" w:fill="auto"/>
            <w:noWrap/>
            <w:tcMar>
              <w:left w:w="28" w:type="dxa"/>
              <w:right w:w="28" w:type="dxa"/>
            </w:tcMar>
            <w:vAlign w:val="bottom"/>
            <w:hideMark/>
          </w:tcPr>
          <w:p w14:paraId="52C5D8EE" w14:textId="77777777" w:rsidR="007E656A" w:rsidRPr="006F272E" w:rsidRDefault="007E656A" w:rsidP="007E656A">
            <w:pPr>
              <w:jc w:val="center"/>
              <w:rPr>
                <w:rFonts w:ascii="Calibri" w:hAnsi="Calibri" w:cs="Calibri"/>
                <w:color w:val="000000"/>
                <w:sz w:val="20"/>
                <w:szCs w:val="22"/>
              </w:rPr>
            </w:pPr>
            <w:r w:rsidRPr="006F272E">
              <w:rPr>
                <w:rFonts w:ascii="Calibri" w:hAnsi="Calibri" w:cs="Calibri"/>
                <w:color w:val="000000"/>
                <w:sz w:val="20"/>
                <w:szCs w:val="22"/>
              </w:rPr>
              <w:t>0.28</w:t>
            </w:r>
          </w:p>
        </w:tc>
        <w:tc>
          <w:tcPr>
            <w:tcW w:w="798" w:type="dxa"/>
            <w:tcBorders>
              <w:top w:val="nil"/>
              <w:left w:val="nil"/>
              <w:right w:val="nil"/>
            </w:tcBorders>
            <w:shd w:val="clear" w:color="auto" w:fill="auto"/>
            <w:noWrap/>
            <w:tcMar>
              <w:left w:w="28" w:type="dxa"/>
              <w:right w:w="28" w:type="dxa"/>
            </w:tcMar>
            <w:vAlign w:val="bottom"/>
            <w:hideMark/>
          </w:tcPr>
          <w:p w14:paraId="0B201495" w14:textId="77777777" w:rsidR="007E656A" w:rsidRPr="006F272E" w:rsidRDefault="007E656A" w:rsidP="007E656A">
            <w:pPr>
              <w:jc w:val="center"/>
              <w:rPr>
                <w:rFonts w:ascii="Calibri" w:hAnsi="Calibri" w:cs="Calibri"/>
                <w:color w:val="000000"/>
                <w:sz w:val="20"/>
                <w:szCs w:val="22"/>
              </w:rPr>
            </w:pPr>
            <w:r w:rsidRPr="006F272E">
              <w:rPr>
                <w:rFonts w:ascii="Calibri" w:hAnsi="Calibri" w:cs="Calibri"/>
                <w:color w:val="000000"/>
                <w:sz w:val="20"/>
                <w:szCs w:val="22"/>
              </w:rPr>
              <w:t>0.754</w:t>
            </w:r>
          </w:p>
        </w:tc>
      </w:tr>
      <w:tr w:rsidR="007E656A" w:rsidRPr="006F272E" w14:paraId="6FC8AD1D" w14:textId="77777777" w:rsidTr="000763B1">
        <w:trPr>
          <w:trHeight w:val="375"/>
        </w:trPr>
        <w:tc>
          <w:tcPr>
            <w:tcW w:w="2410" w:type="dxa"/>
            <w:tcBorders>
              <w:top w:val="nil"/>
              <w:left w:val="nil"/>
              <w:bottom w:val="single" w:sz="4" w:space="0" w:color="auto"/>
              <w:right w:val="nil"/>
            </w:tcBorders>
            <w:shd w:val="clear" w:color="auto" w:fill="auto"/>
            <w:noWrap/>
            <w:tcMar>
              <w:left w:w="28" w:type="dxa"/>
              <w:right w:w="28" w:type="dxa"/>
            </w:tcMar>
            <w:vAlign w:val="bottom"/>
            <w:hideMark/>
          </w:tcPr>
          <w:p w14:paraId="7EC782E7"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DQ5 psychological distress</w:t>
            </w:r>
          </w:p>
        </w:tc>
        <w:tc>
          <w:tcPr>
            <w:tcW w:w="851" w:type="dxa"/>
            <w:tcBorders>
              <w:top w:val="nil"/>
              <w:left w:val="nil"/>
              <w:bottom w:val="single" w:sz="4" w:space="0" w:color="auto"/>
              <w:right w:val="nil"/>
            </w:tcBorders>
            <w:vAlign w:val="bottom"/>
          </w:tcPr>
          <w:p w14:paraId="46F5D2CD" w14:textId="26475F75" w:rsidR="007E656A" w:rsidRPr="006F272E" w:rsidRDefault="007E656A" w:rsidP="007E656A">
            <w:pPr>
              <w:jc w:val="right"/>
              <w:rPr>
                <w:rFonts w:ascii="Calibri" w:hAnsi="Calibri" w:cs="Calibri"/>
                <w:color w:val="000000"/>
                <w:sz w:val="20"/>
                <w:szCs w:val="22"/>
              </w:rPr>
            </w:pPr>
            <w:r>
              <w:rPr>
                <w:rFonts w:ascii="Calibri" w:hAnsi="Calibri" w:cs="Calibri"/>
                <w:color w:val="000000"/>
                <w:sz w:val="20"/>
                <w:szCs w:val="20"/>
              </w:rPr>
              <w:t>13.47</w:t>
            </w:r>
          </w:p>
        </w:tc>
        <w:tc>
          <w:tcPr>
            <w:tcW w:w="993" w:type="dxa"/>
            <w:tcBorders>
              <w:top w:val="nil"/>
              <w:left w:val="nil"/>
              <w:bottom w:val="single" w:sz="4" w:space="0" w:color="auto"/>
              <w:right w:val="nil"/>
            </w:tcBorders>
            <w:vAlign w:val="bottom"/>
          </w:tcPr>
          <w:p w14:paraId="5FA4D81D" w14:textId="173E19C2" w:rsidR="007E656A" w:rsidRPr="006F272E" w:rsidRDefault="007E656A" w:rsidP="000763B1">
            <w:pPr>
              <w:rPr>
                <w:rFonts w:ascii="Calibri" w:hAnsi="Calibri" w:cs="Calibri"/>
                <w:color w:val="000000"/>
                <w:sz w:val="20"/>
                <w:szCs w:val="22"/>
              </w:rPr>
            </w:pPr>
            <w:r>
              <w:rPr>
                <w:rFonts w:ascii="Calibri" w:hAnsi="Calibri" w:cs="Calibri"/>
                <w:color w:val="000000"/>
                <w:sz w:val="20"/>
                <w:szCs w:val="20"/>
              </w:rPr>
              <w:t>( 4.89 )</w:t>
            </w:r>
          </w:p>
        </w:tc>
        <w:tc>
          <w:tcPr>
            <w:tcW w:w="851" w:type="dxa"/>
            <w:tcBorders>
              <w:top w:val="nil"/>
              <w:left w:val="nil"/>
              <w:bottom w:val="single" w:sz="4" w:space="0" w:color="auto"/>
              <w:right w:val="nil"/>
            </w:tcBorders>
            <w:shd w:val="clear" w:color="auto" w:fill="auto"/>
            <w:noWrap/>
            <w:tcMar>
              <w:left w:w="28" w:type="dxa"/>
              <w:right w:w="28" w:type="dxa"/>
            </w:tcMar>
            <w:vAlign w:val="bottom"/>
            <w:hideMark/>
          </w:tcPr>
          <w:p w14:paraId="5203C1FA"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13.46</w:t>
            </w:r>
          </w:p>
        </w:tc>
        <w:tc>
          <w:tcPr>
            <w:tcW w:w="1089" w:type="dxa"/>
            <w:tcBorders>
              <w:top w:val="nil"/>
              <w:left w:val="nil"/>
              <w:bottom w:val="single" w:sz="4" w:space="0" w:color="auto"/>
              <w:right w:val="nil"/>
            </w:tcBorders>
            <w:shd w:val="clear" w:color="auto" w:fill="auto"/>
            <w:noWrap/>
            <w:tcMar>
              <w:left w:w="28" w:type="dxa"/>
              <w:right w:w="28" w:type="dxa"/>
            </w:tcMar>
            <w:vAlign w:val="bottom"/>
            <w:hideMark/>
          </w:tcPr>
          <w:p w14:paraId="75356DCE"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( 4.91 )</w:t>
            </w:r>
          </w:p>
        </w:tc>
        <w:tc>
          <w:tcPr>
            <w:tcW w:w="705" w:type="dxa"/>
            <w:tcBorders>
              <w:top w:val="nil"/>
              <w:left w:val="nil"/>
              <w:bottom w:val="single" w:sz="4" w:space="0" w:color="auto"/>
              <w:right w:val="nil"/>
            </w:tcBorders>
            <w:shd w:val="clear" w:color="auto" w:fill="auto"/>
            <w:noWrap/>
            <w:tcMar>
              <w:left w:w="28" w:type="dxa"/>
              <w:right w:w="28" w:type="dxa"/>
            </w:tcMar>
            <w:vAlign w:val="bottom"/>
            <w:hideMark/>
          </w:tcPr>
          <w:p w14:paraId="1DC27DCF"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13.68</w:t>
            </w:r>
          </w:p>
        </w:tc>
        <w:tc>
          <w:tcPr>
            <w:tcW w:w="1064" w:type="dxa"/>
            <w:tcBorders>
              <w:top w:val="nil"/>
              <w:left w:val="nil"/>
              <w:bottom w:val="single" w:sz="4" w:space="0" w:color="auto"/>
              <w:right w:val="nil"/>
            </w:tcBorders>
            <w:shd w:val="clear" w:color="auto" w:fill="auto"/>
            <w:noWrap/>
            <w:tcMar>
              <w:left w:w="28" w:type="dxa"/>
              <w:right w:w="28" w:type="dxa"/>
            </w:tcMar>
            <w:vAlign w:val="bottom"/>
            <w:hideMark/>
          </w:tcPr>
          <w:p w14:paraId="49613F59"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( 4.88 )</w:t>
            </w:r>
          </w:p>
        </w:tc>
        <w:tc>
          <w:tcPr>
            <w:tcW w:w="705" w:type="dxa"/>
            <w:tcBorders>
              <w:top w:val="nil"/>
              <w:left w:val="nil"/>
              <w:bottom w:val="single" w:sz="4" w:space="0" w:color="auto"/>
              <w:right w:val="nil"/>
            </w:tcBorders>
            <w:shd w:val="clear" w:color="auto" w:fill="auto"/>
            <w:noWrap/>
            <w:tcMar>
              <w:left w:w="28" w:type="dxa"/>
              <w:right w:w="28" w:type="dxa"/>
            </w:tcMar>
            <w:vAlign w:val="bottom"/>
            <w:hideMark/>
          </w:tcPr>
          <w:p w14:paraId="32C8084F" w14:textId="77777777" w:rsidR="007E656A" w:rsidRPr="006F272E" w:rsidRDefault="007E656A" w:rsidP="007E656A">
            <w:pPr>
              <w:jc w:val="right"/>
              <w:rPr>
                <w:rFonts w:ascii="Calibri" w:hAnsi="Calibri" w:cs="Calibri"/>
                <w:color w:val="000000"/>
                <w:sz w:val="20"/>
                <w:szCs w:val="22"/>
              </w:rPr>
            </w:pPr>
            <w:r w:rsidRPr="006F272E">
              <w:rPr>
                <w:rFonts w:ascii="Calibri" w:hAnsi="Calibri" w:cs="Calibri"/>
                <w:color w:val="000000"/>
                <w:sz w:val="20"/>
                <w:szCs w:val="22"/>
              </w:rPr>
              <w:t>12.78</w:t>
            </w:r>
          </w:p>
        </w:tc>
        <w:tc>
          <w:tcPr>
            <w:tcW w:w="1064" w:type="dxa"/>
            <w:tcBorders>
              <w:top w:val="nil"/>
              <w:left w:val="nil"/>
              <w:bottom w:val="single" w:sz="4" w:space="0" w:color="auto"/>
              <w:right w:val="nil"/>
            </w:tcBorders>
            <w:shd w:val="clear" w:color="auto" w:fill="auto"/>
            <w:noWrap/>
            <w:tcMar>
              <w:left w:w="28" w:type="dxa"/>
              <w:right w:w="28" w:type="dxa"/>
            </w:tcMar>
            <w:vAlign w:val="bottom"/>
            <w:hideMark/>
          </w:tcPr>
          <w:p w14:paraId="3EF38369" w14:textId="77777777" w:rsidR="007E656A" w:rsidRPr="006F272E" w:rsidRDefault="007E656A" w:rsidP="007E656A">
            <w:pPr>
              <w:rPr>
                <w:rFonts w:ascii="Calibri" w:hAnsi="Calibri" w:cs="Calibri"/>
                <w:color w:val="000000"/>
                <w:sz w:val="20"/>
                <w:szCs w:val="22"/>
              </w:rPr>
            </w:pPr>
            <w:r w:rsidRPr="006F272E">
              <w:rPr>
                <w:rFonts w:ascii="Calibri" w:hAnsi="Calibri" w:cs="Calibri"/>
                <w:color w:val="000000"/>
                <w:sz w:val="20"/>
                <w:szCs w:val="22"/>
              </w:rPr>
              <w:t>( 4.82 )</w:t>
            </w:r>
          </w:p>
        </w:tc>
        <w:tc>
          <w:tcPr>
            <w:tcW w:w="679" w:type="dxa"/>
            <w:tcBorders>
              <w:top w:val="nil"/>
              <w:left w:val="nil"/>
              <w:bottom w:val="single" w:sz="4" w:space="0" w:color="auto"/>
              <w:right w:val="nil"/>
            </w:tcBorders>
            <w:shd w:val="clear" w:color="auto" w:fill="auto"/>
            <w:noWrap/>
            <w:tcMar>
              <w:left w:w="28" w:type="dxa"/>
              <w:right w:w="28" w:type="dxa"/>
            </w:tcMar>
            <w:vAlign w:val="bottom"/>
            <w:hideMark/>
          </w:tcPr>
          <w:p w14:paraId="1F051C47" w14:textId="77777777" w:rsidR="007E656A" w:rsidRPr="006F272E" w:rsidRDefault="007E656A" w:rsidP="007E656A">
            <w:pPr>
              <w:jc w:val="center"/>
              <w:rPr>
                <w:rFonts w:ascii="Calibri" w:hAnsi="Calibri" w:cs="Calibri"/>
                <w:color w:val="000000"/>
                <w:sz w:val="20"/>
                <w:szCs w:val="22"/>
              </w:rPr>
            </w:pPr>
            <w:r w:rsidRPr="006F272E">
              <w:rPr>
                <w:rFonts w:ascii="Calibri" w:hAnsi="Calibri" w:cs="Calibri"/>
                <w:color w:val="000000"/>
                <w:sz w:val="20"/>
                <w:szCs w:val="22"/>
              </w:rPr>
              <w:t>3.37</w:t>
            </w:r>
          </w:p>
        </w:tc>
        <w:tc>
          <w:tcPr>
            <w:tcW w:w="798" w:type="dxa"/>
            <w:tcBorders>
              <w:top w:val="nil"/>
              <w:left w:val="nil"/>
              <w:bottom w:val="single" w:sz="4" w:space="0" w:color="auto"/>
              <w:right w:val="nil"/>
            </w:tcBorders>
            <w:shd w:val="clear" w:color="auto" w:fill="auto"/>
            <w:noWrap/>
            <w:tcMar>
              <w:left w:w="28" w:type="dxa"/>
              <w:right w:w="28" w:type="dxa"/>
            </w:tcMar>
            <w:vAlign w:val="bottom"/>
            <w:hideMark/>
          </w:tcPr>
          <w:p w14:paraId="221A8E0F" w14:textId="77777777" w:rsidR="007E656A" w:rsidRPr="006F272E" w:rsidRDefault="007E656A" w:rsidP="007E656A">
            <w:pPr>
              <w:jc w:val="center"/>
              <w:rPr>
                <w:rFonts w:ascii="Calibri" w:hAnsi="Calibri" w:cs="Calibri"/>
                <w:b/>
                <w:bCs/>
                <w:color w:val="000000"/>
                <w:sz w:val="20"/>
                <w:szCs w:val="22"/>
              </w:rPr>
            </w:pPr>
            <w:r w:rsidRPr="006F272E">
              <w:rPr>
                <w:rFonts w:ascii="Calibri" w:hAnsi="Calibri" w:cs="Calibri"/>
                <w:b/>
                <w:bCs/>
                <w:color w:val="000000"/>
                <w:sz w:val="20"/>
                <w:szCs w:val="22"/>
              </w:rPr>
              <w:t>0.035</w:t>
            </w:r>
          </w:p>
        </w:tc>
      </w:tr>
    </w:tbl>
    <w:p w14:paraId="00A61F4F" w14:textId="77777777" w:rsidR="006F272E" w:rsidRPr="006F272E" w:rsidRDefault="006F272E" w:rsidP="006F272E">
      <w:pPr>
        <w:spacing w:after="200" w:line="276" w:lineRule="auto"/>
        <w:rPr>
          <w:u w:val="single"/>
        </w:rPr>
      </w:pPr>
    </w:p>
    <w:p w14:paraId="000BD13A" w14:textId="4604FB03" w:rsidR="006F272E" w:rsidRPr="006F272E" w:rsidRDefault="006F272E" w:rsidP="006F272E">
      <w:pPr>
        <w:rPr>
          <w:sz w:val="20"/>
        </w:rPr>
      </w:pPr>
      <w:r w:rsidRPr="006F272E">
        <w:rPr>
          <w:i/>
          <w:sz w:val="20"/>
        </w:rPr>
        <w:t>Notes</w:t>
      </w:r>
      <w:r w:rsidRPr="006F272E">
        <w:rPr>
          <w:sz w:val="20"/>
        </w:rPr>
        <w:t>: The denominator (N=2374) is the sample who met criteria for a mental disorder or reported suicidal ideation in the past month; SOSS = Stigma of Suicide Scale (stigma subscale); SIDAS = Suicidal Ideation Attributes Scale; DQ5 = Distress Questionnaire-5; χ2</w:t>
      </w:r>
      <w:r>
        <w:rPr>
          <w:sz w:val="20"/>
        </w:rPr>
        <w:t xml:space="preserve"> tests based on comparisons on the basis of area; </w:t>
      </w:r>
      <w:r w:rsidRPr="006F272E">
        <w:rPr>
          <w:b/>
          <w:sz w:val="20"/>
        </w:rPr>
        <w:t>bold</w:t>
      </w:r>
      <w:r w:rsidRPr="006F272E">
        <w:rPr>
          <w:sz w:val="20"/>
        </w:rPr>
        <w:t xml:space="preserve"> values represent </w:t>
      </w:r>
      <w:r w:rsidRPr="006F272E">
        <w:rPr>
          <w:i/>
          <w:sz w:val="20"/>
        </w:rPr>
        <w:t>p</w:t>
      </w:r>
      <w:r w:rsidRPr="006F272E">
        <w:rPr>
          <w:sz w:val="20"/>
        </w:rPr>
        <w:t>&lt;.05</w:t>
      </w:r>
    </w:p>
    <w:p w14:paraId="60664209" w14:textId="77777777" w:rsidR="006F272E" w:rsidRPr="006F272E" w:rsidRDefault="006F272E" w:rsidP="006F272E">
      <w:pPr>
        <w:spacing w:after="200" w:line="276" w:lineRule="auto"/>
        <w:rPr>
          <w:u w:val="single"/>
        </w:rPr>
      </w:pPr>
      <w:r w:rsidRPr="006F272E">
        <w:rPr>
          <w:u w:val="single"/>
        </w:rPr>
        <w:br w:type="page"/>
      </w:r>
    </w:p>
    <w:p w14:paraId="5E189F95" w14:textId="77777777" w:rsidR="000401B4" w:rsidRDefault="000401B4" w:rsidP="000401B4">
      <w:pPr>
        <w:spacing w:after="200" w:line="276" w:lineRule="auto"/>
      </w:pPr>
      <w:r w:rsidRPr="00315ED4">
        <w:rPr>
          <w:u w:val="single"/>
        </w:rPr>
        <w:lastRenderedPageBreak/>
        <w:t xml:space="preserve">Table </w:t>
      </w:r>
      <w:r>
        <w:rPr>
          <w:u w:val="single"/>
        </w:rPr>
        <w:t>2</w:t>
      </w:r>
      <w:r>
        <w:t>: Help seeking and disclosure of suicidal ideation in the past 12 months based on residential area</w:t>
      </w:r>
    </w:p>
    <w:tbl>
      <w:tblPr>
        <w:tblW w:w="11800" w:type="dxa"/>
        <w:tblLook w:val="04A0" w:firstRow="1" w:lastRow="0" w:firstColumn="1" w:lastColumn="0" w:noHBand="0" w:noVBand="1"/>
      </w:tblPr>
      <w:tblGrid>
        <w:gridCol w:w="4130"/>
        <w:gridCol w:w="773"/>
        <w:gridCol w:w="1085"/>
        <w:gridCol w:w="774"/>
        <w:gridCol w:w="1084"/>
        <w:gridCol w:w="774"/>
        <w:gridCol w:w="1084"/>
        <w:gridCol w:w="1048"/>
        <w:gridCol w:w="1048"/>
      </w:tblGrid>
      <w:tr w:rsidR="000401B4" w14:paraId="1EBED1A6" w14:textId="77777777" w:rsidTr="00FF4BF7">
        <w:trPr>
          <w:trHeight w:val="601"/>
        </w:trPr>
        <w:tc>
          <w:tcPr>
            <w:tcW w:w="4130" w:type="dxa"/>
            <w:tcBorders>
              <w:top w:val="single" w:sz="4" w:space="0" w:color="auto"/>
              <w:left w:val="nil"/>
              <w:bottom w:val="single" w:sz="4" w:space="0" w:color="auto"/>
              <w:right w:val="nil"/>
            </w:tcBorders>
            <w:shd w:val="clear" w:color="auto" w:fill="auto"/>
            <w:noWrap/>
            <w:tcMar>
              <w:left w:w="57" w:type="dxa"/>
              <w:right w:w="57" w:type="dxa"/>
            </w:tcMar>
            <w:vAlign w:val="center"/>
            <w:hideMark/>
          </w:tcPr>
          <w:p w14:paraId="71AF1096" w14:textId="77777777" w:rsidR="000401B4" w:rsidRDefault="000401B4" w:rsidP="008B18CA">
            <w:pPr>
              <w:jc w:val="center"/>
              <w:rPr>
                <w:sz w:val="20"/>
                <w:szCs w:val="20"/>
              </w:rPr>
            </w:pPr>
          </w:p>
        </w:tc>
        <w:tc>
          <w:tcPr>
            <w:tcW w:w="1858" w:type="dxa"/>
            <w:gridSpan w:val="2"/>
            <w:tcBorders>
              <w:top w:val="single" w:sz="4" w:space="0" w:color="auto"/>
              <w:left w:val="nil"/>
              <w:bottom w:val="single" w:sz="4" w:space="0" w:color="auto"/>
              <w:right w:val="nil"/>
            </w:tcBorders>
            <w:shd w:val="clear" w:color="auto" w:fill="auto"/>
            <w:noWrap/>
            <w:tcMar>
              <w:left w:w="57" w:type="dxa"/>
              <w:right w:w="57" w:type="dxa"/>
            </w:tcMar>
            <w:vAlign w:val="center"/>
            <w:hideMark/>
          </w:tcPr>
          <w:p w14:paraId="641C3530"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Metropolitan area (n=1249)</w:t>
            </w:r>
          </w:p>
        </w:tc>
        <w:tc>
          <w:tcPr>
            <w:tcW w:w="1858" w:type="dxa"/>
            <w:gridSpan w:val="2"/>
            <w:tcBorders>
              <w:top w:val="single" w:sz="4" w:space="0" w:color="auto"/>
              <w:left w:val="nil"/>
              <w:bottom w:val="single" w:sz="4" w:space="0" w:color="auto"/>
              <w:right w:val="nil"/>
            </w:tcBorders>
            <w:shd w:val="clear" w:color="auto" w:fill="auto"/>
            <w:noWrap/>
            <w:tcMar>
              <w:left w:w="57" w:type="dxa"/>
              <w:right w:w="57" w:type="dxa"/>
            </w:tcMar>
            <w:vAlign w:val="center"/>
            <w:hideMark/>
          </w:tcPr>
          <w:p w14:paraId="29316574"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Regional area (n=867)</w:t>
            </w:r>
          </w:p>
        </w:tc>
        <w:tc>
          <w:tcPr>
            <w:tcW w:w="1858" w:type="dxa"/>
            <w:gridSpan w:val="2"/>
            <w:tcBorders>
              <w:top w:val="single" w:sz="4" w:space="0" w:color="auto"/>
              <w:left w:val="nil"/>
              <w:bottom w:val="single" w:sz="4" w:space="0" w:color="auto"/>
              <w:right w:val="nil"/>
            </w:tcBorders>
            <w:shd w:val="clear" w:color="auto" w:fill="auto"/>
            <w:noWrap/>
            <w:tcMar>
              <w:left w:w="57" w:type="dxa"/>
              <w:right w:w="57" w:type="dxa"/>
            </w:tcMar>
            <w:vAlign w:val="center"/>
            <w:hideMark/>
          </w:tcPr>
          <w:p w14:paraId="670DE602"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Rural or remote area (n=258)</w:t>
            </w:r>
          </w:p>
        </w:tc>
        <w:tc>
          <w:tcPr>
            <w:tcW w:w="1048" w:type="dxa"/>
            <w:tcBorders>
              <w:top w:val="single" w:sz="4" w:space="0" w:color="auto"/>
              <w:left w:val="nil"/>
              <w:bottom w:val="single" w:sz="4" w:space="0" w:color="auto"/>
              <w:right w:val="nil"/>
            </w:tcBorders>
            <w:shd w:val="clear" w:color="auto" w:fill="auto"/>
            <w:noWrap/>
            <w:tcMar>
              <w:left w:w="57" w:type="dxa"/>
              <w:right w:w="57" w:type="dxa"/>
            </w:tcMar>
            <w:vAlign w:val="center"/>
            <w:hideMark/>
          </w:tcPr>
          <w:p w14:paraId="1B3DD6E3"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χ</w:t>
            </w:r>
            <w:r w:rsidRPr="000663CD">
              <w:rPr>
                <w:rFonts w:ascii="Calibri" w:hAnsi="Calibri" w:cs="Calibri"/>
                <w:color w:val="000000"/>
                <w:sz w:val="22"/>
                <w:szCs w:val="22"/>
                <w:vertAlign w:val="superscript"/>
              </w:rPr>
              <w:t>2</w:t>
            </w:r>
          </w:p>
        </w:tc>
        <w:tc>
          <w:tcPr>
            <w:tcW w:w="1048" w:type="dxa"/>
            <w:tcBorders>
              <w:top w:val="single" w:sz="4" w:space="0" w:color="auto"/>
              <w:left w:val="nil"/>
              <w:bottom w:val="single" w:sz="4" w:space="0" w:color="auto"/>
              <w:right w:val="nil"/>
            </w:tcBorders>
            <w:shd w:val="clear" w:color="auto" w:fill="auto"/>
            <w:noWrap/>
            <w:tcMar>
              <w:left w:w="57" w:type="dxa"/>
              <w:right w:w="57" w:type="dxa"/>
            </w:tcMar>
            <w:vAlign w:val="center"/>
            <w:hideMark/>
          </w:tcPr>
          <w:p w14:paraId="2E69751E"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p</w:t>
            </w:r>
          </w:p>
        </w:tc>
      </w:tr>
      <w:tr w:rsidR="000401B4" w14:paraId="4A265701" w14:textId="77777777" w:rsidTr="00FF4BF7">
        <w:trPr>
          <w:trHeight w:val="601"/>
        </w:trPr>
        <w:tc>
          <w:tcPr>
            <w:tcW w:w="4130" w:type="dxa"/>
            <w:tcBorders>
              <w:top w:val="single" w:sz="4" w:space="0" w:color="auto"/>
              <w:left w:val="nil"/>
              <w:bottom w:val="nil"/>
              <w:right w:val="nil"/>
            </w:tcBorders>
            <w:shd w:val="clear" w:color="auto" w:fill="auto"/>
            <w:noWrap/>
            <w:tcMar>
              <w:left w:w="57" w:type="dxa"/>
              <w:right w:w="57" w:type="dxa"/>
            </w:tcMar>
            <w:vAlign w:val="center"/>
            <w:hideMark/>
          </w:tcPr>
          <w:p w14:paraId="197D874D"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xml:space="preserve">Sought help from doctor/GP </w:t>
            </w:r>
          </w:p>
        </w:tc>
        <w:tc>
          <w:tcPr>
            <w:tcW w:w="773" w:type="dxa"/>
            <w:tcBorders>
              <w:top w:val="single" w:sz="4" w:space="0" w:color="auto"/>
              <w:left w:val="nil"/>
              <w:bottom w:val="nil"/>
              <w:right w:val="nil"/>
            </w:tcBorders>
            <w:shd w:val="clear" w:color="auto" w:fill="auto"/>
            <w:noWrap/>
            <w:tcMar>
              <w:left w:w="57" w:type="dxa"/>
              <w:right w:w="57" w:type="dxa"/>
            </w:tcMar>
            <w:vAlign w:val="center"/>
            <w:hideMark/>
          </w:tcPr>
          <w:p w14:paraId="7FBC5F13"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484</w:t>
            </w:r>
          </w:p>
        </w:tc>
        <w:tc>
          <w:tcPr>
            <w:tcW w:w="1085" w:type="dxa"/>
            <w:tcBorders>
              <w:top w:val="single" w:sz="4" w:space="0" w:color="auto"/>
              <w:left w:val="nil"/>
              <w:bottom w:val="nil"/>
              <w:right w:val="nil"/>
            </w:tcBorders>
            <w:shd w:val="clear" w:color="auto" w:fill="auto"/>
            <w:noWrap/>
            <w:tcMar>
              <w:left w:w="57" w:type="dxa"/>
              <w:right w:w="57" w:type="dxa"/>
            </w:tcMar>
            <w:vAlign w:val="center"/>
            <w:hideMark/>
          </w:tcPr>
          <w:p w14:paraId="78984E64"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( 38.8% )</w:t>
            </w:r>
          </w:p>
        </w:tc>
        <w:tc>
          <w:tcPr>
            <w:tcW w:w="774" w:type="dxa"/>
            <w:tcBorders>
              <w:top w:val="single" w:sz="4" w:space="0" w:color="auto"/>
              <w:left w:val="nil"/>
              <w:bottom w:val="nil"/>
              <w:right w:val="nil"/>
            </w:tcBorders>
            <w:shd w:val="clear" w:color="auto" w:fill="auto"/>
            <w:noWrap/>
            <w:tcMar>
              <w:left w:w="57" w:type="dxa"/>
              <w:right w:w="57" w:type="dxa"/>
            </w:tcMar>
            <w:vAlign w:val="center"/>
            <w:hideMark/>
          </w:tcPr>
          <w:p w14:paraId="06044127"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334</w:t>
            </w:r>
          </w:p>
        </w:tc>
        <w:tc>
          <w:tcPr>
            <w:tcW w:w="1084" w:type="dxa"/>
            <w:tcBorders>
              <w:top w:val="single" w:sz="4" w:space="0" w:color="auto"/>
              <w:left w:val="nil"/>
              <w:bottom w:val="nil"/>
              <w:right w:val="nil"/>
            </w:tcBorders>
            <w:shd w:val="clear" w:color="auto" w:fill="auto"/>
            <w:noWrap/>
            <w:tcMar>
              <w:left w:w="57" w:type="dxa"/>
              <w:right w:w="57" w:type="dxa"/>
            </w:tcMar>
            <w:vAlign w:val="center"/>
            <w:hideMark/>
          </w:tcPr>
          <w:p w14:paraId="6C441B27"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( 38.5% )</w:t>
            </w:r>
          </w:p>
        </w:tc>
        <w:tc>
          <w:tcPr>
            <w:tcW w:w="774" w:type="dxa"/>
            <w:tcBorders>
              <w:top w:val="single" w:sz="4" w:space="0" w:color="auto"/>
              <w:left w:val="nil"/>
              <w:bottom w:val="nil"/>
              <w:right w:val="nil"/>
            </w:tcBorders>
            <w:shd w:val="clear" w:color="auto" w:fill="auto"/>
            <w:noWrap/>
            <w:tcMar>
              <w:left w:w="57" w:type="dxa"/>
              <w:right w:w="57" w:type="dxa"/>
            </w:tcMar>
            <w:vAlign w:val="center"/>
            <w:hideMark/>
          </w:tcPr>
          <w:p w14:paraId="0BD2AAE5"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98</w:t>
            </w:r>
          </w:p>
        </w:tc>
        <w:tc>
          <w:tcPr>
            <w:tcW w:w="1084" w:type="dxa"/>
            <w:tcBorders>
              <w:top w:val="single" w:sz="4" w:space="0" w:color="auto"/>
              <w:left w:val="nil"/>
              <w:bottom w:val="nil"/>
              <w:right w:val="nil"/>
            </w:tcBorders>
            <w:shd w:val="clear" w:color="auto" w:fill="auto"/>
            <w:noWrap/>
            <w:tcMar>
              <w:left w:w="57" w:type="dxa"/>
              <w:right w:w="57" w:type="dxa"/>
            </w:tcMar>
            <w:vAlign w:val="center"/>
            <w:hideMark/>
          </w:tcPr>
          <w:p w14:paraId="2BF2D342"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( 38.0% )</w:t>
            </w:r>
          </w:p>
        </w:tc>
        <w:tc>
          <w:tcPr>
            <w:tcW w:w="1048" w:type="dxa"/>
            <w:tcBorders>
              <w:top w:val="single" w:sz="4" w:space="0" w:color="auto"/>
              <w:left w:val="nil"/>
              <w:bottom w:val="nil"/>
              <w:right w:val="nil"/>
            </w:tcBorders>
            <w:shd w:val="clear" w:color="auto" w:fill="auto"/>
            <w:noWrap/>
            <w:tcMar>
              <w:left w:w="57" w:type="dxa"/>
              <w:right w:w="57" w:type="dxa"/>
            </w:tcMar>
            <w:vAlign w:val="center"/>
            <w:hideMark/>
          </w:tcPr>
          <w:p w14:paraId="1D9F4A12"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0.57</w:t>
            </w:r>
          </w:p>
        </w:tc>
        <w:tc>
          <w:tcPr>
            <w:tcW w:w="1048" w:type="dxa"/>
            <w:tcBorders>
              <w:top w:val="single" w:sz="4" w:space="0" w:color="auto"/>
              <w:left w:val="nil"/>
              <w:bottom w:val="nil"/>
              <w:right w:val="nil"/>
            </w:tcBorders>
            <w:shd w:val="clear" w:color="auto" w:fill="auto"/>
            <w:noWrap/>
            <w:tcMar>
              <w:left w:w="57" w:type="dxa"/>
              <w:right w:w="57" w:type="dxa"/>
            </w:tcMar>
            <w:vAlign w:val="center"/>
            <w:hideMark/>
          </w:tcPr>
          <w:p w14:paraId="02E945C5"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0.750</w:t>
            </w:r>
          </w:p>
        </w:tc>
      </w:tr>
      <w:tr w:rsidR="000401B4" w14:paraId="6FA92E3E" w14:textId="77777777" w:rsidTr="00FF4BF7">
        <w:trPr>
          <w:trHeight w:val="601"/>
        </w:trPr>
        <w:tc>
          <w:tcPr>
            <w:tcW w:w="4130" w:type="dxa"/>
            <w:tcBorders>
              <w:top w:val="nil"/>
              <w:left w:val="nil"/>
              <w:bottom w:val="nil"/>
              <w:right w:val="nil"/>
            </w:tcBorders>
            <w:shd w:val="clear" w:color="auto" w:fill="auto"/>
            <w:noWrap/>
            <w:tcMar>
              <w:left w:w="57" w:type="dxa"/>
              <w:right w:w="57" w:type="dxa"/>
            </w:tcMar>
            <w:vAlign w:val="center"/>
            <w:hideMark/>
          </w:tcPr>
          <w:p w14:paraId="3BE4A34C"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Sought help from social worker</w:t>
            </w:r>
          </w:p>
        </w:tc>
        <w:tc>
          <w:tcPr>
            <w:tcW w:w="773" w:type="dxa"/>
            <w:tcBorders>
              <w:top w:val="nil"/>
              <w:left w:val="nil"/>
              <w:bottom w:val="nil"/>
              <w:right w:val="nil"/>
            </w:tcBorders>
            <w:shd w:val="clear" w:color="auto" w:fill="auto"/>
            <w:noWrap/>
            <w:tcMar>
              <w:left w:w="57" w:type="dxa"/>
              <w:right w:w="57" w:type="dxa"/>
            </w:tcMar>
            <w:vAlign w:val="center"/>
            <w:hideMark/>
          </w:tcPr>
          <w:p w14:paraId="4D597499"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28</w:t>
            </w:r>
          </w:p>
        </w:tc>
        <w:tc>
          <w:tcPr>
            <w:tcW w:w="1085" w:type="dxa"/>
            <w:tcBorders>
              <w:top w:val="nil"/>
              <w:left w:val="nil"/>
              <w:bottom w:val="nil"/>
              <w:right w:val="nil"/>
            </w:tcBorders>
            <w:shd w:val="clear" w:color="auto" w:fill="auto"/>
            <w:noWrap/>
            <w:tcMar>
              <w:left w:w="57" w:type="dxa"/>
              <w:right w:w="57" w:type="dxa"/>
            </w:tcMar>
            <w:vAlign w:val="center"/>
            <w:hideMark/>
          </w:tcPr>
          <w:p w14:paraId="7BDAF130"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( 2.2% )</w:t>
            </w:r>
          </w:p>
        </w:tc>
        <w:tc>
          <w:tcPr>
            <w:tcW w:w="774" w:type="dxa"/>
            <w:tcBorders>
              <w:top w:val="nil"/>
              <w:left w:val="nil"/>
              <w:bottom w:val="nil"/>
              <w:right w:val="nil"/>
            </w:tcBorders>
            <w:shd w:val="clear" w:color="auto" w:fill="auto"/>
            <w:noWrap/>
            <w:tcMar>
              <w:left w:w="57" w:type="dxa"/>
              <w:right w:w="57" w:type="dxa"/>
            </w:tcMar>
            <w:vAlign w:val="center"/>
            <w:hideMark/>
          </w:tcPr>
          <w:p w14:paraId="1963B5F3"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27</w:t>
            </w:r>
          </w:p>
        </w:tc>
        <w:tc>
          <w:tcPr>
            <w:tcW w:w="1084" w:type="dxa"/>
            <w:tcBorders>
              <w:top w:val="nil"/>
              <w:left w:val="nil"/>
              <w:bottom w:val="nil"/>
              <w:right w:val="nil"/>
            </w:tcBorders>
            <w:shd w:val="clear" w:color="auto" w:fill="auto"/>
            <w:noWrap/>
            <w:tcMar>
              <w:left w:w="57" w:type="dxa"/>
              <w:right w:w="57" w:type="dxa"/>
            </w:tcMar>
            <w:vAlign w:val="center"/>
            <w:hideMark/>
          </w:tcPr>
          <w:p w14:paraId="2147FA54"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( 3.1% )</w:t>
            </w:r>
          </w:p>
        </w:tc>
        <w:tc>
          <w:tcPr>
            <w:tcW w:w="774" w:type="dxa"/>
            <w:tcBorders>
              <w:top w:val="nil"/>
              <w:left w:val="nil"/>
              <w:bottom w:val="nil"/>
              <w:right w:val="nil"/>
            </w:tcBorders>
            <w:shd w:val="clear" w:color="auto" w:fill="auto"/>
            <w:noWrap/>
            <w:tcMar>
              <w:left w:w="57" w:type="dxa"/>
              <w:right w:w="57" w:type="dxa"/>
            </w:tcMar>
            <w:vAlign w:val="center"/>
            <w:hideMark/>
          </w:tcPr>
          <w:p w14:paraId="615B3431"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10</w:t>
            </w:r>
          </w:p>
        </w:tc>
        <w:tc>
          <w:tcPr>
            <w:tcW w:w="1084" w:type="dxa"/>
            <w:tcBorders>
              <w:top w:val="nil"/>
              <w:left w:val="nil"/>
              <w:bottom w:val="nil"/>
              <w:right w:val="nil"/>
            </w:tcBorders>
            <w:shd w:val="clear" w:color="auto" w:fill="auto"/>
            <w:noWrap/>
            <w:tcMar>
              <w:left w:w="57" w:type="dxa"/>
              <w:right w:w="57" w:type="dxa"/>
            </w:tcMar>
            <w:vAlign w:val="center"/>
            <w:hideMark/>
          </w:tcPr>
          <w:p w14:paraId="02EE272D"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( 3.9% )</w:t>
            </w:r>
          </w:p>
        </w:tc>
        <w:tc>
          <w:tcPr>
            <w:tcW w:w="1048" w:type="dxa"/>
            <w:tcBorders>
              <w:top w:val="nil"/>
              <w:left w:val="nil"/>
              <w:bottom w:val="nil"/>
              <w:right w:val="nil"/>
            </w:tcBorders>
            <w:shd w:val="clear" w:color="auto" w:fill="auto"/>
            <w:noWrap/>
            <w:tcMar>
              <w:left w:w="57" w:type="dxa"/>
              <w:right w:w="57" w:type="dxa"/>
            </w:tcMar>
            <w:vAlign w:val="center"/>
            <w:hideMark/>
          </w:tcPr>
          <w:p w14:paraId="0561A7FE"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3.31</w:t>
            </w:r>
          </w:p>
        </w:tc>
        <w:tc>
          <w:tcPr>
            <w:tcW w:w="1048" w:type="dxa"/>
            <w:tcBorders>
              <w:top w:val="nil"/>
              <w:left w:val="nil"/>
              <w:bottom w:val="nil"/>
              <w:right w:val="nil"/>
            </w:tcBorders>
            <w:shd w:val="clear" w:color="auto" w:fill="auto"/>
            <w:noWrap/>
            <w:tcMar>
              <w:left w:w="57" w:type="dxa"/>
              <w:right w:w="57" w:type="dxa"/>
            </w:tcMar>
            <w:vAlign w:val="center"/>
            <w:hideMark/>
          </w:tcPr>
          <w:p w14:paraId="0E76690F"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0.191</w:t>
            </w:r>
          </w:p>
        </w:tc>
      </w:tr>
      <w:tr w:rsidR="000401B4" w14:paraId="60521501" w14:textId="77777777" w:rsidTr="00FF4BF7">
        <w:trPr>
          <w:trHeight w:val="601"/>
        </w:trPr>
        <w:tc>
          <w:tcPr>
            <w:tcW w:w="4130" w:type="dxa"/>
            <w:tcBorders>
              <w:top w:val="nil"/>
              <w:left w:val="nil"/>
              <w:bottom w:val="nil"/>
              <w:right w:val="nil"/>
            </w:tcBorders>
            <w:shd w:val="clear" w:color="auto" w:fill="auto"/>
            <w:noWrap/>
            <w:tcMar>
              <w:left w:w="57" w:type="dxa"/>
              <w:right w:w="57" w:type="dxa"/>
            </w:tcMar>
            <w:vAlign w:val="center"/>
            <w:hideMark/>
          </w:tcPr>
          <w:p w14:paraId="485FEE41"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xml:space="preserve">Sought help from hospital </w:t>
            </w:r>
          </w:p>
        </w:tc>
        <w:tc>
          <w:tcPr>
            <w:tcW w:w="773" w:type="dxa"/>
            <w:tcBorders>
              <w:top w:val="nil"/>
              <w:left w:val="nil"/>
              <w:bottom w:val="nil"/>
              <w:right w:val="nil"/>
            </w:tcBorders>
            <w:shd w:val="clear" w:color="auto" w:fill="auto"/>
            <w:noWrap/>
            <w:tcMar>
              <w:left w:w="57" w:type="dxa"/>
              <w:right w:w="57" w:type="dxa"/>
            </w:tcMar>
            <w:vAlign w:val="center"/>
            <w:hideMark/>
          </w:tcPr>
          <w:p w14:paraId="2344213C"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62</w:t>
            </w:r>
          </w:p>
        </w:tc>
        <w:tc>
          <w:tcPr>
            <w:tcW w:w="1085" w:type="dxa"/>
            <w:tcBorders>
              <w:top w:val="nil"/>
              <w:left w:val="nil"/>
              <w:bottom w:val="nil"/>
              <w:right w:val="nil"/>
            </w:tcBorders>
            <w:shd w:val="clear" w:color="auto" w:fill="auto"/>
            <w:noWrap/>
            <w:tcMar>
              <w:left w:w="57" w:type="dxa"/>
              <w:right w:w="57" w:type="dxa"/>
            </w:tcMar>
            <w:vAlign w:val="center"/>
            <w:hideMark/>
          </w:tcPr>
          <w:p w14:paraId="07BBCAAD"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( 5.0% )</w:t>
            </w:r>
          </w:p>
        </w:tc>
        <w:tc>
          <w:tcPr>
            <w:tcW w:w="774" w:type="dxa"/>
            <w:tcBorders>
              <w:top w:val="nil"/>
              <w:left w:val="nil"/>
              <w:bottom w:val="nil"/>
              <w:right w:val="nil"/>
            </w:tcBorders>
            <w:shd w:val="clear" w:color="auto" w:fill="auto"/>
            <w:noWrap/>
            <w:tcMar>
              <w:left w:w="57" w:type="dxa"/>
              <w:right w:w="57" w:type="dxa"/>
            </w:tcMar>
            <w:vAlign w:val="center"/>
            <w:hideMark/>
          </w:tcPr>
          <w:p w14:paraId="4A5AF416"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46</w:t>
            </w:r>
          </w:p>
        </w:tc>
        <w:tc>
          <w:tcPr>
            <w:tcW w:w="1084" w:type="dxa"/>
            <w:tcBorders>
              <w:top w:val="nil"/>
              <w:left w:val="nil"/>
              <w:bottom w:val="nil"/>
              <w:right w:val="nil"/>
            </w:tcBorders>
            <w:shd w:val="clear" w:color="auto" w:fill="auto"/>
            <w:noWrap/>
            <w:tcMar>
              <w:left w:w="57" w:type="dxa"/>
              <w:right w:w="57" w:type="dxa"/>
            </w:tcMar>
            <w:vAlign w:val="center"/>
            <w:hideMark/>
          </w:tcPr>
          <w:p w14:paraId="1E52D466"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( 5.3% )</w:t>
            </w:r>
          </w:p>
        </w:tc>
        <w:tc>
          <w:tcPr>
            <w:tcW w:w="774" w:type="dxa"/>
            <w:tcBorders>
              <w:top w:val="nil"/>
              <w:left w:val="nil"/>
              <w:bottom w:val="nil"/>
              <w:right w:val="nil"/>
            </w:tcBorders>
            <w:shd w:val="clear" w:color="auto" w:fill="auto"/>
            <w:noWrap/>
            <w:tcMar>
              <w:left w:w="57" w:type="dxa"/>
              <w:right w:w="57" w:type="dxa"/>
            </w:tcMar>
            <w:vAlign w:val="center"/>
            <w:hideMark/>
          </w:tcPr>
          <w:p w14:paraId="6AAB0FD0"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16</w:t>
            </w:r>
          </w:p>
        </w:tc>
        <w:tc>
          <w:tcPr>
            <w:tcW w:w="1084" w:type="dxa"/>
            <w:tcBorders>
              <w:top w:val="nil"/>
              <w:left w:val="nil"/>
              <w:bottom w:val="nil"/>
              <w:right w:val="nil"/>
            </w:tcBorders>
            <w:shd w:val="clear" w:color="auto" w:fill="auto"/>
            <w:noWrap/>
            <w:tcMar>
              <w:left w:w="57" w:type="dxa"/>
              <w:right w:w="57" w:type="dxa"/>
            </w:tcMar>
            <w:vAlign w:val="center"/>
            <w:hideMark/>
          </w:tcPr>
          <w:p w14:paraId="3F8A98B2"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( 6.2% )</w:t>
            </w:r>
          </w:p>
        </w:tc>
        <w:tc>
          <w:tcPr>
            <w:tcW w:w="1048" w:type="dxa"/>
            <w:tcBorders>
              <w:top w:val="nil"/>
              <w:left w:val="nil"/>
              <w:bottom w:val="nil"/>
              <w:right w:val="nil"/>
            </w:tcBorders>
            <w:shd w:val="clear" w:color="auto" w:fill="auto"/>
            <w:noWrap/>
            <w:tcMar>
              <w:left w:w="57" w:type="dxa"/>
              <w:right w:w="57" w:type="dxa"/>
            </w:tcMar>
            <w:vAlign w:val="center"/>
            <w:hideMark/>
          </w:tcPr>
          <w:p w14:paraId="4310C15A"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0.25</w:t>
            </w:r>
          </w:p>
        </w:tc>
        <w:tc>
          <w:tcPr>
            <w:tcW w:w="1048" w:type="dxa"/>
            <w:tcBorders>
              <w:top w:val="nil"/>
              <w:left w:val="nil"/>
              <w:bottom w:val="nil"/>
              <w:right w:val="nil"/>
            </w:tcBorders>
            <w:shd w:val="clear" w:color="auto" w:fill="auto"/>
            <w:noWrap/>
            <w:tcMar>
              <w:left w:w="57" w:type="dxa"/>
              <w:right w:w="57" w:type="dxa"/>
            </w:tcMar>
            <w:vAlign w:val="center"/>
            <w:hideMark/>
          </w:tcPr>
          <w:p w14:paraId="74D6679E"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0.884</w:t>
            </w:r>
          </w:p>
        </w:tc>
      </w:tr>
      <w:tr w:rsidR="000401B4" w14:paraId="359DF5F2" w14:textId="77777777" w:rsidTr="00FF4BF7">
        <w:trPr>
          <w:trHeight w:val="601"/>
        </w:trPr>
        <w:tc>
          <w:tcPr>
            <w:tcW w:w="4130" w:type="dxa"/>
            <w:tcBorders>
              <w:top w:val="nil"/>
              <w:left w:val="nil"/>
              <w:bottom w:val="nil"/>
              <w:right w:val="nil"/>
            </w:tcBorders>
            <w:shd w:val="clear" w:color="auto" w:fill="auto"/>
            <w:noWrap/>
            <w:tcMar>
              <w:left w:w="57" w:type="dxa"/>
              <w:right w:w="57" w:type="dxa"/>
            </w:tcMar>
            <w:vAlign w:val="center"/>
            <w:hideMark/>
          </w:tcPr>
          <w:p w14:paraId="47FCA3E6"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xml:space="preserve">Sought help from psychologist </w:t>
            </w:r>
          </w:p>
        </w:tc>
        <w:tc>
          <w:tcPr>
            <w:tcW w:w="773" w:type="dxa"/>
            <w:tcBorders>
              <w:top w:val="nil"/>
              <w:left w:val="nil"/>
              <w:bottom w:val="nil"/>
              <w:right w:val="nil"/>
            </w:tcBorders>
            <w:shd w:val="clear" w:color="auto" w:fill="auto"/>
            <w:noWrap/>
            <w:tcMar>
              <w:left w:w="57" w:type="dxa"/>
              <w:right w:w="57" w:type="dxa"/>
            </w:tcMar>
            <w:vAlign w:val="center"/>
            <w:hideMark/>
          </w:tcPr>
          <w:p w14:paraId="422894E8"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388</w:t>
            </w:r>
          </w:p>
        </w:tc>
        <w:tc>
          <w:tcPr>
            <w:tcW w:w="1085" w:type="dxa"/>
            <w:tcBorders>
              <w:top w:val="nil"/>
              <w:left w:val="nil"/>
              <w:bottom w:val="nil"/>
              <w:right w:val="nil"/>
            </w:tcBorders>
            <w:shd w:val="clear" w:color="auto" w:fill="auto"/>
            <w:noWrap/>
            <w:tcMar>
              <w:left w:w="57" w:type="dxa"/>
              <w:right w:w="57" w:type="dxa"/>
            </w:tcMar>
            <w:vAlign w:val="center"/>
            <w:hideMark/>
          </w:tcPr>
          <w:p w14:paraId="29E566C4"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( 31.1% )</w:t>
            </w:r>
          </w:p>
        </w:tc>
        <w:tc>
          <w:tcPr>
            <w:tcW w:w="774" w:type="dxa"/>
            <w:tcBorders>
              <w:top w:val="nil"/>
              <w:left w:val="nil"/>
              <w:bottom w:val="nil"/>
              <w:right w:val="nil"/>
            </w:tcBorders>
            <w:shd w:val="clear" w:color="auto" w:fill="auto"/>
            <w:noWrap/>
            <w:tcMar>
              <w:left w:w="57" w:type="dxa"/>
              <w:right w:w="57" w:type="dxa"/>
            </w:tcMar>
            <w:vAlign w:val="center"/>
            <w:hideMark/>
          </w:tcPr>
          <w:p w14:paraId="60A448EA"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256</w:t>
            </w:r>
          </w:p>
        </w:tc>
        <w:tc>
          <w:tcPr>
            <w:tcW w:w="1084" w:type="dxa"/>
            <w:tcBorders>
              <w:top w:val="nil"/>
              <w:left w:val="nil"/>
              <w:bottom w:val="nil"/>
              <w:right w:val="nil"/>
            </w:tcBorders>
            <w:shd w:val="clear" w:color="auto" w:fill="auto"/>
            <w:noWrap/>
            <w:tcMar>
              <w:left w:w="57" w:type="dxa"/>
              <w:right w:w="57" w:type="dxa"/>
            </w:tcMar>
            <w:vAlign w:val="center"/>
            <w:hideMark/>
          </w:tcPr>
          <w:p w14:paraId="198E1F70"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( 29.5% )</w:t>
            </w:r>
          </w:p>
        </w:tc>
        <w:tc>
          <w:tcPr>
            <w:tcW w:w="774" w:type="dxa"/>
            <w:tcBorders>
              <w:top w:val="nil"/>
              <w:left w:val="nil"/>
              <w:bottom w:val="nil"/>
              <w:right w:val="nil"/>
            </w:tcBorders>
            <w:shd w:val="clear" w:color="auto" w:fill="auto"/>
            <w:noWrap/>
            <w:tcMar>
              <w:left w:w="57" w:type="dxa"/>
              <w:right w:w="57" w:type="dxa"/>
            </w:tcMar>
            <w:vAlign w:val="center"/>
            <w:hideMark/>
          </w:tcPr>
          <w:p w14:paraId="7C58CAC6"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58</w:t>
            </w:r>
          </w:p>
        </w:tc>
        <w:tc>
          <w:tcPr>
            <w:tcW w:w="1084" w:type="dxa"/>
            <w:tcBorders>
              <w:top w:val="nil"/>
              <w:left w:val="nil"/>
              <w:bottom w:val="nil"/>
              <w:right w:val="nil"/>
            </w:tcBorders>
            <w:shd w:val="clear" w:color="auto" w:fill="auto"/>
            <w:noWrap/>
            <w:tcMar>
              <w:left w:w="57" w:type="dxa"/>
              <w:right w:w="57" w:type="dxa"/>
            </w:tcMar>
            <w:vAlign w:val="center"/>
            <w:hideMark/>
          </w:tcPr>
          <w:p w14:paraId="75680BE2"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( 22.5% )</w:t>
            </w:r>
          </w:p>
        </w:tc>
        <w:tc>
          <w:tcPr>
            <w:tcW w:w="1048" w:type="dxa"/>
            <w:tcBorders>
              <w:top w:val="nil"/>
              <w:left w:val="nil"/>
              <w:bottom w:val="nil"/>
              <w:right w:val="nil"/>
            </w:tcBorders>
            <w:shd w:val="clear" w:color="auto" w:fill="auto"/>
            <w:noWrap/>
            <w:tcMar>
              <w:left w:w="57" w:type="dxa"/>
              <w:right w:w="57" w:type="dxa"/>
            </w:tcMar>
            <w:vAlign w:val="center"/>
            <w:hideMark/>
          </w:tcPr>
          <w:p w14:paraId="339CC3FB" w14:textId="77777777" w:rsidR="000401B4" w:rsidRDefault="000401B4" w:rsidP="008B18CA">
            <w:pPr>
              <w:jc w:val="center"/>
              <w:rPr>
                <w:rFonts w:ascii="Calibri" w:hAnsi="Calibri" w:cs="Calibri"/>
                <w:b/>
                <w:bCs/>
                <w:color w:val="000000"/>
                <w:sz w:val="22"/>
                <w:szCs w:val="22"/>
              </w:rPr>
            </w:pPr>
            <w:r>
              <w:rPr>
                <w:rFonts w:ascii="Calibri" w:hAnsi="Calibri" w:cs="Calibri"/>
                <w:b/>
                <w:bCs/>
                <w:color w:val="000000"/>
                <w:sz w:val="22"/>
                <w:szCs w:val="22"/>
              </w:rPr>
              <w:t>7.76</w:t>
            </w:r>
          </w:p>
        </w:tc>
        <w:tc>
          <w:tcPr>
            <w:tcW w:w="1048" w:type="dxa"/>
            <w:tcBorders>
              <w:top w:val="nil"/>
              <w:left w:val="nil"/>
              <w:bottom w:val="nil"/>
              <w:right w:val="nil"/>
            </w:tcBorders>
            <w:shd w:val="clear" w:color="auto" w:fill="auto"/>
            <w:noWrap/>
            <w:tcMar>
              <w:left w:w="57" w:type="dxa"/>
              <w:right w:w="57" w:type="dxa"/>
            </w:tcMar>
            <w:vAlign w:val="center"/>
            <w:hideMark/>
          </w:tcPr>
          <w:p w14:paraId="201736CC" w14:textId="77777777" w:rsidR="000401B4" w:rsidRDefault="000401B4" w:rsidP="008B18CA">
            <w:pPr>
              <w:jc w:val="center"/>
              <w:rPr>
                <w:rFonts w:ascii="Calibri" w:hAnsi="Calibri" w:cs="Calibri"/>
                <w:b/>
                <w:bCs/>
                <w:color w:val="000000"/>
                <w:sz w:val="22"/>
                <w:szCs w:val="22"/>
              </w:rPr>
            </w:pPr>
            <w:r>
              <w:rPr>
                <w:rFonts w:ascii="Calibri" w:hAnsi="Calibri" w:cs="Calibri"/>
                <w:b/>
                <w:bCs/>
                <w:color w:val="000000"/>
                <w:sz w:val="22"/>
                <w:szCs w:val="22"/>
              </w:rPr>
              <w:t>0.021</w:t>
            </w:r>
          </w:p>
        </w:tc>
      </w:tr>
      <w:tr w:rsidR="000401B4" w14:paraId="49358BF3" w14:textId="77777777" w:rsidTr="00FF4BF7">
        <w:trPr>
          <w:trHeight w:val="601"/>
        </w:trPr>
        <w:tc>
          <w:tcPr>
            <w:tcW w:w="4130" w:type="dxa"/>
            <w:tcBorders>
              <w:top w:val="nil"/>
              <w:left w:val="nil"/>
              <w:bottom w:val="nil"/>
              <w:right w:val="nil"/>
            </w:tcBorders>
            <w:shd w:val="clear" w:color="auto" w:fill="auto"/>
            <w:noWrap/>
            <w:tcMar>
              <w:left w:w="57" w:type="dxa"/>
              <w:right w:w="57" w:type="dxa"/>
            </w:tcMar>
            <w:vAlign w:val="center"/>
            <w:hideMark/>
          </w:tcPr>
          <w:p w14:paraId="07F1037C"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xml:space="preserve">Sought help from psychiatrist </w:t>
            </w:r>
          </w:p>
        </w:tc>
        <w:tc>
          <w:tcPr>
            <w:tcW w:w="773" w:type="dxa"/>
            <w:tcBorders>
              <w:top w:val="nil"/>
              <w:left w:val="nil"/>
              <w:bottom w:val="nil"/>
              <w:right w:val="nil"/>
            </w:tcBorders>
            <w:shd w:val="clear" w:color="auto" w:fill="auto"/>
            <w:noWrap/>
            <w:tcMar>
              <w:left w:w="57" w:type="dxa"/>
              <w:right w:w="57" w:type="dxa"/>
            </w:tcMar>
            <w:vAlign w:val="center"/>
            <w:hideMark/>
          </w:tcPr>
          <w:p w14:paraId="441F52DC"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176</w:t>
            </w:r>
          </w:p>
        </w:tc>
        <w:tc>
          <w:tcPr>
            <w:tcW w:w="1085" w:type="dxa"/>
            <w:tcBorders>
              <w:top w:val="nil"/>
              <w:left w:val="nil"/>
              <w:bottom w:val="nil"/>
              <w:right w:val="nil"/>
            </w:tcBorders>
            <w:shd w:val="clear" w:color="auto" w:fill="auto"/>
            <w:noWrap/>
            <w:tcMar>
              <w:left w:w="57" w:type="dxa"/>
              <w:right w:w="57" w:type="dxa"/>
            </w:tcMar>
            <w:vAlign w:val="center"/>
            <w:hideMark/>
          </w:tcPr>
          <w:p w14:paraId="00BA9F36"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( 14.1% )</w:t>
            </w:r>
          </w:p>
        </w:tc>
        <w:tc>
          <w:tcPr>
            <w:tcW w:w="774" w:type="dxa"/>
            <w:tcBorders>
              <w:top w:val="nil"/>
              <w:left w:val="nil"/>
              <w:bottom w:val="nil"/>
              <w:right w:val="nil"/>
            </w:tcBorders>
            <w:shd w:val="clear" w:color="auto" w:fill="auto"/>
            <w:noWrap/>
            <w:tcMar>
              <w:left w:w="57" w:type="dxa"/>
              <w:right w:w="57" w:type="dxa"/>
            </w:tcMar>
            <w:vAlign w:val="center"/>
            <w:hideMark/>
          </w:tcPr>
          <w:p w14:paraId="127A9391"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116</w:t>
            </w:r>
          </w:p>
        </w:tc>
        <w:tc>
          <w:tcPr>
            <w:tcW w:w="1084" w:type="dxa"/>
            <w:tcBorders>
              <w:top w:val="nil"/>
              <w:left w:val="nil"/>
              <w:bottom w:val="nil"/>
              <w:right w:val="nil"/>
            </w:tcBorders>
            <w:shd w:val="clear" w:color="auto" w:fill="auto"/>
            <w:noWrap/>
            <w:tcMar>
              <w:left w:w="57" w:type="dxa"/>
              <w:right w:w="57" w:type="dxa"/>
            </w:tcMar>
            <w:vAlign w:val="center"/>
            <w:hideMark/>
          </w:tcPr>
          <w:p w14:paraId="037BD6F4"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( 13.4% )</w:t>
            </w:r>
          </w:p>
        </w:tc>
        <w:tc>
          <w:tcPr>
            <w:tcW w:w="774" w:type="dxa"/>
            <w:tcBorders>
              <w:top w:val="nil"/>
              <w:left w:val="nil"/>
              <w:bottom w:val="nil"/>
              <w:right w:val="nil"/>
            </w:tcBorders>
            <w:shd w:val="clear" w:color="auto" w:fill="auto"/>
            <w:noWrap/>
            <w:tcMar>
              <w:left w:w="57" w:type="dxa"/>
              <w:right w:w="57" w:type="dxa"/>
            </w:tcMar>
            <w:vAlign w:val="center"/>
            <w:hideMark/>
          </w:tcPr>
          <w:p w14:paraId="40F2133D"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38</w:t>
            </w:r>
          </w:p>
        </w:tc>
        <w:tc>
          <w:tcPr>
            <w:tcW w:w="1084" w:type="dxa"/>
            <w:tcBorders>
              <w:top w:val="nil"/>
              <w:left w:val="nil"/>
              <w:bottom w:val="nil"/>
              <w:right w:val="nil"/>
            </w:tcBorders>
            <w:shd w:val="clear" w:color="auto" w:fill="auto"/>
            <w:noWrap/>
            <w:tcMar>
              <w:left w:w="57" w:type="dxa"/>
              <w:right w:w="57" w:type="dxa"/>
            </w:tcMar>
            <w:vAlign w:val="center"/>
            <w:hideMark/>
          </w:tcPr>
          <w:p w14:paraId="21D8DD06"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( 14.7% )</w:t>
            </w:r>
          </w:p>
        </w:tc>
        <w:tc>
          <w:tcPr>
            <w:tcW w:w="1048" w:type="dxa"/>
            <w:tcBorders>
              <w:top w:val="nil"/>
              <w:left w:val="nil"/>
              <w:bottom w:val="nil"/>
              <w:right w:val="nil"/>
            </w:tcBorders>
            <w:shd w:val="clear" w:color="auto" w:fill="auto"/>
            <w:noWrap/>
            <w:tcMar>
              <w:left w:w="57" w:type="dxa"/>
              <w:right w:w="57" w:type="dxa"/>
            </w:tcMar>
            <w:vAlign w:val="center"/>
            <w:hideMark/>
          </w:tcPr>
          <w:p w14:paraId="17A3E07C"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0.60</w:t>
            </w:r>
          </w:p>
        </w:tc>
        <w:tc>
          <w:tcPr>
            <w:tcW w:w="1048" w:type="dxa"/>
            <w:tcBorders>
              <w:top w:val="nil"/>
              <w:left w:val="nil"/>
              <w:bottom w:val="nil"/>
              <w:right w:val="nil"/>
            </w:tcBorders>
            <w:shd w:val="clear" w:color="auto" w:fill="auto"/>
            <w:noWrap/>
            <w:tcMar>
              <w:left w:w="57" w:type="dxa"/>
              <w:right w:w="57" w:type="dxa"/>
            </w:tcMar>
            <w:vAlign w:val="center"/>
            <w:hideMark/>
          </w:tcPr>
          <w:p w14:paraId="04E7BC75"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0.742</w:t>
            </w:r>
          </w:p>
        </w:tc>
      </w:tr>
      <w:tr w:rsidR="000401B4" w14:paraId="699B2900" w14:textId="77777777" w:rsidTr="00FF4BF7">
        <w:trPr>
          <w:trHeight w:val="601"/>
        </w:trPr>
        <w:tc>
          <w:tcPr>
            <w:tcW w:w="4130" w:type="dxa"/>
            <w:tcBorders>
              <w:top w:val="nil"/>
              <w:left w:val="nil"/>
              <w:bottom w:val="nil"/>
              <w:right w:val="nil"/>
            </w:tcBorders>
            <w:shd w:val="clear" w:color="auto" w:fill="auto"/>
            <w:noWrap/>
            <w:tcMar>
              <w:left w:w="57" w:type="dxa"/>
              <w:right w:w="57" w:type="dxa"/>
            </w:tcMar>
            <w:vAlign w:val="center"/>
            <w:hideMark/>
          </w:tcPr>
          <w:p w14:paraId="2646D301"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xml:space="preserve">Sought help from counsellor </w:t>
            </w:r>
          </w:p>
        </w:tc>
        <w:tc>
          <w:tcPr>
            <w:tcW w:w="773" w:type="dxa"/>
            <w:tcBorders>
              <w:top w:val="nil"/>
              <w:left w:val="nil"/>
              <w:bottom w:val="nil"/>
              <w:right w:val="nil"/>
            </w:tcBorders>
            <w:shd w:val="clear" w:color="auto" w:fill="auto"/>
            <w:noWrap/>
            <w:tcMar>
              <w:left w:w="57" w:type="dxa"/>
              <w:right w:w="57" w:type="dxa"/>
            </w:tcMar>
            <w:vAlign w:val="center"/>
            <w:hideMark/>
          </w:tcPr>
          <w:p w14:paraId="06198C28"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163</w:t>
            </w:r>
          </w:p>
        </w:tc>
        <w:tc>
          <w:tcPr>
            <w:tcW w:w="1085" w:type="dxa"/>
            <w:tcBorders>
              <w:top w:val="nil"/>
              <w:left w:val="nil"/>
              <w:bottom w:val="nil"/>
              <w:right w:val="nil"/>
            </w:tcBorders>
            <w:shd w:val="clear" w:color="auto" w:fill="auto"/>
            <w:noWrap/>
            <w:tcMar>
              <w:left w:w="57" w:type="dxa"/>
              <w:right w:w="57" w:type="dxa"/>
            </w:tcMar>
            <w:vAlign w:val="center"/>
            <w:hideMark/>
          </w:tcPr>
          <w:p w14:paraId="1D229640"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( 13.1% )</w:t>
            </w:r>
          </w:p>
        </w:tc>
        <w:tc>
          <w:tcPr>
            <w:tcW w:w="774" w:type="dxa"/>
            <w:tcBorders>
              <w:top w:val="nil"/>
              <w:left w:val="nil"/>
              <w:bottom w:val="nil"/>
              <w:right w:val="nil"/>
            </w:tcBorders>
            <w:shd w:val="clear" w:color="auto" w:fill="auto"/>
            <w:noWrap/>
            <w:tcMar>
              <w:left w:w="57" w:type="dxa"/>
              <w:right w:w="57" w:type="dxa"/>
            </w:tcMar>
            <w:vAlign w:val="center"/>
            <w:hideMark/>
          </w:tcPr>
          <w:p w14:paraId="52EAE62C"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120</w:t>
            </w:r>
          </w:p>
        </w:tc>
        <w:tc>
          <w:tcPr>
            <w:tcW w:w="1084" w:type="dxa"/>
            <w:tcBorders>
              <w:top w:val="nil"/>
              <w:left w:val="nil"/>
              <w:bottom w:val="nil"/>
              <w:right w:val="nil"/>
            </w:tcBorders>
            <w:shd w:val="clear" w:color="auto" w:fill="auto"/>
            <w:noWrap/>
            <w:tcMar>
              <w:left w:w="57" w:type="dxa"/>
              <w:right w:w="57" w:type="dxa"/>
            </w:tcMar>
            <w:vAlign w:val="center"/>
            <w:hideMark/>
          </w:tcPr>
          <w:p w14:paraId="188D066B"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( 13.8% )</w:t>
            </w:r>
          </w:p>
        </w:tc>
        <w:tc>
          <w:tcPr>
            <w:tcW w:w="774" w:type="dxa"/>
            <w:tcBorders>
              <w:top w:val="nil"/>
              <w:left w:val="nil"/>
              <w:bottom w:val="nil"/>
              <w:right w:val="nil"/>
            </w:tcBorders>
            <w:shd w:val="clear" w:color="auto" w:fill="auto"/>
            <w:noWrap/>
            <w:tcMar>
              <w:left w:w="57" w:type="dxa"/>
              <w:right w:w="57" w:type="dxa"/>
            </w:tcMar>
            <w:vAlign w:val="center"/>
            <w:hideMark/>
          </w:tcPr>
          <w:p w14:paraId="753C07F1"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34</w:t>
            </w:r>
          </w:p>
        </w:tc>
        <w:tc>
          <w:tcPr>
            <w:tcW w:w="1084" w:type="dxa"/>
            <w:tcBorders>
              <w:top w:val="nil"/>
              <w:left w:val="nil"/>
              <w:bottom w:val="nil"/>
              <w:right w:val="nil"/>
            </w:tcBorders>
            <w:shd w:val="clear" w:color="auto" w:fill="auto"/>
            <w:noWrap/>
            <w:tcMar>
              <w:left w:w="57" w:type="dxa"/>
              <w:right w:w="57" w:type="dxa"/>
            </w:tcMar>
            <w:vAlign w:val="center"/>
            <w:hideMark/>
          </w:tcPr>
          <w:p w14:paraId="1B0996EC"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( 13.2% )</w:t>
            </w:r>
          </w:p>
        </w:tc>
        <w:tc>
          <w:tcPr>
            <w:tcW w:w="1048" w:type="dxa"/>
            <w:tcBorders>
              <w:top w:val="nil"/>
              <w:left w:val="nil"/>
              <w:bottom w:val="nil"/>
              <w:right w:val="nil"/>
            </w:tcBorders>
            <w:shd w:val="clear" w:color="auto" w:fill="auto"/>
            <w:noWrap/>
            <w:tcMar>
              <w:left w:w="57" w:type="dxa"/>
              <w:right w:w="57" w:type="dxa"/>
            </w:tcMar>
            <w:vAlign w:val="center"/>
            <w:hideMark/>
          </w:tcPr>
          <w:p w14:paraId="59EFA4A3"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0.86</w:t>
            </w:r>
          </w:p>
        </w:tc>
        <w:tc>
          <w:tcPr>
            <w:tcW w:w="1048" w:type="dxa"/>
            <w:tcBorders>
              <w:top w:val="nil"/>
              <w:left w:val="nil"/>
              <w:bottom w:val="nil"/>
              <w:right w:val="nil"/>
            </w:tcBorders>
            <w:shd w:val="clear" w:color="auto" w:fill="auto"/>
            <w:noWrap/>
            <w:tcMar>
              <w:left w:w="57" w:type="dxa"/>
              <w:right w:w="57" w:type="dxa"/>
            </w:tcMar>
            <w:vAlign w:val="center"/>
            <w:hideMark/>
          </w:tcPr>
          <w:p w14:paraId="598BF74D"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0.651</w:t>
            </w:r>
          </w:p>
        </w:tc>
      </w:tr>
      <w:tr w:rsidR="000401B4" w14:paraId="49B07E9E" w14:textId="77777777" w:rsidTr="00FF4BF7">
        <w:trPr>
          <w:trHeight w:val="601"/>
        </w:trPr>
        <w:tc>
          <w:tcPr>
            <w:tcW w:w="4130" w:type="dxa"/>
            <w:tcBorders>
              <w:top w:val="nil"/>
              <w:left w:val="nil"/>
              <w:bottom w:val="nil"/>
              <w:right w:val="nil"/>
            </w:tcBorders>
            <w:shd w:val="clear" w:color="auto" w:fill="auto"/>
            <w:noWrap/>
            <w:tcMar>
              <w:left w:w="57" w:type="dxa"/>
              <w:right w:w="57" w:type="dxa"/>
            </w:tcMar>
            <w:vAlign w:val="center"/>
            <w:hideMark/>
          </w:tcPr>
          <w:p w14:paraId="0080D1A6"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xml:space="preserve">Sought any professional help </w:t>
            </w:r>
          </w:p>
        </w:tc>
        <w:tc>
          <w:tcPr>
            <w:tcW w:w="773" w:type="dxa"/>
            <w:tcBorders>
              <w:top w:val="nil"/>
              <w:left w:val="nil"/>
              <w:bottom w:val="nil"/>
              <w:right w:val="nil"/>
            </w:tcBorders>
            <w:shd w:val="clear" w:color="auto" w:fill="auto"/>
            <w:noWrap/>
            <w:tcMar>
              <w:left w:w="57" w:type="dxa"/>
              <w:right w:w="57" w:type="dxa"/>
            </w:tcMar>
            <w:vAlign w:val="center"/>
            <w:hideMark/>
          </w:tcPr>
          <w:p w14:paraId="68F78F50"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708</w:t>
            </w:r>
          </w:p>
        </w:tc>
        <w:tc>
          <w:tcPr>
            <w:tcW w:w="1085" w:type="dxa"/>
            <w:tcBorders>
              <w:top w:val="nil"/>
              <w:left w:val="nil"/>
              <w:bottom w:val="nil"/>
              <w:right w:val="nil"/>
            </w:tcBorders>
            <w:shd w:val="clear" w:color="auto" w:fill="auto"/>
            <w:noWrap/>
            <w:tcMar>
              <w:left w:w="57" w:type="dxa"/>
              <w:right w:w="57" w:type="dxa"/>
            </w:tcMar>
            <w:vAlign w:val="center"/>
            <w:hideMark/>
          </w:tcPr>
          <w:p w14:paraId="7C41F13D"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( 56.7% )</w:t>
            </w:r>
          </w:p>
        </w:tc>
        <w:tc>
          <w:tcPr>
            <w:tcW w:w="774" w:type="dxa"/>
            <w:tcBorders>
              <w:top w:val="nil"/>
              <w:left w:val="nil"/>
              <w:bottom w:val="nil"/>
              <w:right w:val="nil"/>
            </w:tcBorders>
            <w:shd w:val="clear" w:color="auto" w:fill="auto"/>
            <w:noWrap/>
            <w:tcMar>
              <w:left w:w="57" w:type="dxa"/>
              <w:right w:w="57" w:type="dxa"/>
            </w:tcMar>
            <w:vAlign w:val="center"/>
            <w:hideMark/>
          </w:tcPr>
          <w:p w14:paraId="08D09C29"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472</w:t>
            </w:r>
          </w:p>
        </w:tc>
        <w:tc>
          <w:tcPr>
            <w:tcW w:w="1084" w:type="dxa"/>
            <w:tcBorders>
              <w:top w:val="nil"/>
              <w:left w:val="nil"/>
              <w:bottom w:val="nil"/>
              <w:right w:val="nil"/>
            </w:tcBorders>
            <w:shd w:val="clear" w:color="auto" w:fill="auto"/>
            <w:noWrap/>
            <w:tcMar>
              <w:left w:w="57" w:type="dxa"/>
              <w:right w:w="57" w:type="dxa"/>
            </w:tcMar>
            <w:vAlign w:val="center"/>
            <w:hideMark/>
          </w:tcPr>
          <w:p w14:paraId="4603930E"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( 54.4% )</w:t>
            </w:r>
          </w:p>
        </w:tc>
        <w:tc>
          <w:tcPr>
            <w:tcW w:w="774" w:type="dxa"/>
            <w:tcBorders>
              <w:top w:val="nil"/>
              <w:left w:val="nil"/>
              <w:bottom w:val="nil"/>
              <w:right w:val="nil"/>
            </w:tcBorders>
            <w:shd w:val="clear" w:color="auto" w:fill="auto"/>
            <w:noWrap/>
            <w:tcMar>
              <w:left w:w="57" w:type="dxa"/>
              <w:right w:w="57" w:type="dxa"/>
            </w:tcMar>
            <w:vAlign w:val="center"/>
            <w:hideMark/>
          </w:tcPr>
          <w:p w14:paraId="122D68D7"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137</w:t>
            </w:r>
          </w:p>
        </w:tc>
        <w:tc>
          <w:tcPr>
            <w:tcW w:w="1084" w:type="dxa"/>
            <w:tcBorders>
              <w:top w:val="nil"/>
              <w:left w:val="nil"/>
              <w:bottom w:val="nil"/>
              <w:right w:val="nil"/>
            </w:tcBorders>
            <w:shd w:val="clear" w:color="auto" w:fill="auto"/>
            <w:noWrap/>
            <w:tcMar>
              <w:left w:w="57" w:type="dxa"/>
              <w:right w:w="57" w:type="dxa"/>
            </w:tcMar>
            <w:vAlign w:val="center"/>
            <w:hideMark/>
          </w:tcPr>
          <w:p w14:paraId="731BB108"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( 53.1% )</w:t>
            </w:r>
          </w:p>
        </w:tc>
        <w:tc>
          <w:tcPr>
            <w:tcW w:w="1048" w:type="dxa"/>
            <w:tcBorders>
              <w:top w:val="nil"/>
              <w:left w:val="nil"/>
              <w:bottom w:val="nil"/>
              <w:right w:val="nil"/>
            </w:tcBorders>
            <w:shd w:val="clear" w:color="auto" w:fill="auto"/>
            <w:noWrap/>
            <w:tcMar>
              <w:left w:w="57" w:type="dxa"/>
              <w:right w:w="57" w:type="dxa"/>
            </w:tcMar>
            <w:vAlign w:val="center"/>
            <w:hideMark/>
          </w:tcPr>
          <w:p w14:paraId="08637134"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1.00</w:t>
            </w:r>
          </w:p>
        </w:tc>
        <w:tc>
          <w:tcPr>
            <w:tcW w:w="1048" w:type="dxa"/>
            <w:tcBorders>
              <w:top w:val="nil"/>
              <w:left w:val="nil"/>
              <w:bottom w:val="nil"/>
              <w:right w:val="nil"/>
            </w:tcBorders>
            <w:shd w:val="clear" w:color="auto" w:fill="auto"/>
            <w:noWrap/>
            <w:tcMar>
              <w:left w:w="57" w:type="dxa"/>
              <w:right w:w="57" w:type="dxa"/>
            </w:tcMar>
            <w:vAlign w:val="center"/>
            <w:hideMark/>
          </w:tcPr>
          <w:p w14:paraId="69FA7D94"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0.607</w:t>
            </w:r>
          </w:p>
        </w:tc>
      </w:tr>
      <w:tr w:rsidR="000401B4" w14:paraId="5C6E9F8F" w14:textId="77777777" w:rsidTr="00FF4BF7">
        <w:trPr>
          <w:trHeight w:val="601"/>
        </w:trPr>
        <w:tc>
          <w:tcPr>
            <w:tcW w:w="4130" w:type="dxa"/>
            <w:tcBorders>
              <w:top w:val="nil"/>
              <w:left w:val="nil"/>
              <w:right w:val="nil"/>
            </w:tcBorders>
            <w:shd w:val="clear" w:color="auto" w:fill="auto"/>
            <w:noWrap/>
            <w:tcMar>
              <w:left w:w="57" w:type="dxa"/>
              <w:right w:w="57" w:type="dxa"/>
            </w:tcMar>
            <w:vAlign w:val="center"/>
            <w:hideMark/>
          </w:tcPr>
          <w:p w14:paraId="12F643CD"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Disclosed suicidal ideation (n=1323)</w:t>
            </w:r>
          </w:p>
        </w:tc>
        <w:tc>
          <w:tcPr>
            <w:tcW w:w="773" w:type="dxa"/>
            <w:tcBorders>
              <w:top w:val="nil"/>
              <w:left w:val="nil"/>
              <w:right w:val="nil"/>
            </w:tcBorders>
            <w:shd w:val="clear" w:color="auto" w:fill="auto"/>
            <w:noWrap/>
            <w:tcMar>
              <w:left w:w="57" w:type="dxa"/>
              <w:right w:w="57" w:type="dxa"/>
            </w:tcMar>
            <w:vAlign w:val="center"/>
            <w:hideMark/>
          </w:tcPr>
          <w:p w14:paraId="0C93BF21"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322</w:t>
            </w:r>
          </w:p>
        </w:tc>
        <w:tc>
          <w:tcPr>
            <w:tcW w:w="1085" w:type="dxa"/>
            <w:tcBorders>
              <w:top w:val="nil"/>
              <w:left w:val="nil"/>
              <w:right w:val="nil"/>
            </w:tcBorders>
            <w:shd w:val="clear" w:color="auto" w:fill="auto"/>
            <w:noWrap/>
            <w:tcMar>
              <w:left w:w="57" w:type="dxa"/>
              <w:right w:w="57" w:type="dxa"/>
            </w:tcMar>
            <w:vAlign w:val="center"/>
            <w:hideMark/>
          </w:tcPr>
          <w:p w14:paraId="1B181C8C"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( 47.9% )</w:t>
            </w:r>
          </w:p>
        </w:tc>
        <w:tc>
          <w:tcPr>
            <w:tcW w:w="774" w:type="dxa"/>
            <w:tcBorders>
              <w:top w:val="nil"/>
              <w:left w:val="nil"/>
              <w:right w:val="nil"/>
            </w:tcBorders>
            <w:shd w:val="clear" w:color="auto" w:fill="auto"/>
            <w:noWrap/>
            <w:tcMar>
              <w:left w:w="57" w:type="dxa"/>
              <w:right w:w="57" w:type="dxa"/>
            </w:tcMar>
            <w:vAlign w:val="center"/>
            <w:hideMark/>
          </w:tcPr>
          <w:p w14:paraId="070BEC3F"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228</w:t>
            </w:r>
          </w:p>
        </w:tc>
        <w:tc>
          <w:tcPr>
            <w:tcW w:w="1084" w:type="dxa"/>
            <w:tcBorders>
              <w:top w:val="nil"/>
              <w:left w:val="nil"/>
              <w:right w:val="nil"/>
            </w:tcBorders>
            <w:shd w:val="clear" w:color="auto" w:fill="auto"/>
            <w:noWrap/>
            <w:tcMar>
              <w:left w:w="57" w:type="dxa"/>
              <w:right w:w="57" w:type="dxa"/>
            </w:tcMar>
            <w:vAlign w:val="center"/>
            <w:hideMark/>
          </w:tcPr>
          <w:p w14:paraId="6F72E801"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( 45.9% )</w:t>
            </w:r>
          </w:p>
        </w:tc>
        <w:tc>
          <w:tcPr>
            <w:tcW w:w="774" w:type="dxa"/>
            <w:tcBorders>
              <w:top w:val="nil"/>
              <w:left w:val="nil"/>
              <w:right w:val="nil"/>
            </w:tcBorders>
            <w:shd w:val="clear" w:color="auto" w:fill="auto"/>
            <w:noWrap/>
            <w:tcMar>
              <w:left w:w="57" w:type="dxa"/>
              <w:right w:w="57" w:type="dxa"/>
            </w:tcMar>
            <w:vAlign w:val="center"/>
            <w:hideMark/>
          </w:tcPr>
          <w:p w14:paraId="263B5445"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59</w:t>
            </w:r>
          </w:p>
        </w:tc>
        <w:tc>
          <w:tcPr>
            <w:tcW w:w="1084" w:type="dxa"/>
            <w:tcBorders>
              <w:top w:val="nil"/>
              <w:left w:val="nil"/>
              <w:right w:val="nil"/>
            </w:tcBorders>
            <w:shd w:val="clear" w:color="auto" w:fill="auto"/>
            <w:noWrap/>
            <w:tcMar>
              <w:left w:w="57" w:type="dxa"/>
              <w:right w:w="57" w:type="dxa"/>
            </w:tcMar>
            <w:vAlign w:val="center"/>
            <w:hideMark/>
          </w:tcPr>
          <w:p w14:paraId="4D1C8FBE"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( 38.3% )</w:t>
            </w:r>
          </w:p>
        </w:tc>
        <w:tc>
          <w:tcPr>
            <w:tcW w:w="1048" w:type="dxa"/>
            <w:tcBorders>
              <w:top w:val="nil"/>
              <w:left w:val="nil"/>
              <w:right w:val="nil"/>
            </w:tcBorders>
            <w:shd w:val="clear" w:color="auto" w:fill="auto"/>
            <w:noWrap/>
            <w:tcMar>
              <w:left w:w="57" w:type="dxa"/>
              <w:right w:w="57" w:type="dxa"/>
            </w:tcMar>
            <w:vAlign w:val="center"/>
            <w:hideMark/>
          </w:tcPr>
          <w:p w14:paraId="5BC33A19"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4.66</w:t>
            </w:r>
          </w:p>
        </w:tc>
        <w:tc>
          <w:tcPr>
            <w:tcW w:w="1048" w:type="dxa"/>
            <w:tcBorders>
              <w:top w:val="nil"/>
              <w:left w:val="nil"/>
              <w:right w:val="nil"/>
            </w:tcBorders>
            <w:shd w:val="clear" w:color="auto" w:fill="auto"/>
            <w:noWrap/>
            <w:tcMar>
              <w:left w:w="57" w:type="dxa"/>
              <w:right w:w="57" w:type="dxa"/>
            </w:tcMar>
            <w:vAlign w:val="center"/>
            <w:hideMark/>
          </w:tcPr>
          <w:p w14:paraId="6B98B542"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0.097</w:t>
            </w:r>
          </w:p>
        </w:tc>
      </w:tr>
      <w:tr w:rsidR="000401B4" w14:paraId="77D8EE10" w14:textId="77777777" w:rsidTr="00FF4BF7">
        <w:trPr>
          <w:trHeight w:val="601"/>
        </w:trPr>
        <w:tc>
          <w:tcPr>
            <w:tcW w:w="4130" w:type="dxa"/>
            <w:tcBorders>
              <w:top w:val="nil"/>
              <w:left w:val="nil"/>
              <w:bottom w:val="single" w:sz="4" w:space="0" w:color="auto"/>
              <w:right w:val="nil"/>
            </w:tcBorders>
            <w:shd w:val="clear" w:color="auto" w:fill="auto"/>
            <w:noWrap/>
            <w:tcMar>
              <w:left w:w="57" w:type="dxa"/>
              <w:right w:w="57" w:type="dxa"/>
            </w:tcMar>
            <w:vAlign w:val="center"/>
            <w:hideMark/>
          </w:tcPr>
          <w:p w14:paraId="1AEC1116"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Perceived need for help (N=219)</w:t>
            </w:r>
          </w:p>
        </w:tc>
        <w:tc>
          <w:tcPr>
            <w:tcW w:w="773" w:type="dxa"/>
            <w:tcBorders>
              <w:top w:val="nil"/>
              <w:left w:val="nil"/>
              <w:bottom w:val="single" w:sz="4" w:space="0" w:color="auto"/>
              <w:right w:val="nil"/>
            </w:tcBorders>
            <w:shd w:val="clear" w:color="auto" w:fill="auto"/>
            <w:noWrap/>
            <w:tcMar>
              <w:left w:w="57" w:type="dxa"/>
              <w:right w:w="57" w:type="dxa"/>
            </w:tcMar>
            <w:vAlign w:val="center"/>
            <w:hideMark/>
          </w:tcPr>
          <w:p w14:paraId="6D582E30"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44</w:t>
            </w:r>
          </w:p>
        </w:tc>
        <w:tc>
          <w:tcPr>
            <w:tcW w:w="1085" w:type="dxa"/>
            <w:tcBorders>
              <w:top w:val="nil"/>
              <w:left w:val="nil"/>
              <w:bottom w:val="single" w:sz="4" w:space="0" w:color="auto"/>
              <w:right w:val="nil"/>
            </w:tcBorders>
            <w:shd w:val="clear" w:color="auto" w:fill="auto"/>
            <w:noWrap/>
            <w:tcMar>
              <w:left w:w="57" w:type="dxa"/>
              <w:right w:w="57" w:type="dxa"/>
            </w:tcMar>
            <w:vAlign w:val="center"/>
            <w:hideMark/>
          </w:tcPr>
          <w:p w14:paraId="6AF0E64A"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( 43.1% )</w:t>
            </w:r>
          </w:p>
        </w:tc>
        <w:tc>
          <w:tcPr>
            <w:tcW w:w="774" w:type="dxa"/>
            <w:tcBorders>
              <w:top w:val="nil"/>
              <w:left w:val="nil"/>
              <w:bottom w:val="single" w:sz="4" w:space="0" w:color="auto"/>
              <w:right w:val="nil"/>
            </w:tcBorders>
            <w:shd w:val="clear" w:color="auto" w:fill="auto"/>
            <w:noWrap/>
            <w:tcMar>
              <w:left w:w="57" w:type="dxa"/>
              <w:right w:w="57" w:type="dxa"/>
            </w:tcMar>
            <w:vAlign w:val="center"/>
            <w:hideMark/>
          </w:tcPr>
          <w:p w14:paraId="36BF92A7"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48</w:t>
            </w:r>
          </w:p>
        </w:tc>
        <w:tc>
          <w:tcPr>
            <w:tcW w:w="1084" w:type="dxa"/>
            <w:tcBorders>
              <w:top w:val="nil"/>
              <w:left w:val="nil"/>
              <w:bottom w:val="single" w:sz="4" w:space="0" w:color="auto"/>
              <w:right w:val="nil"/>
            </w:tcBorders>
            <w:shd w:val="clear" w:color="auto" w:fill="auto"/>
            <w:noWrap/>
            <w:tcMar>
              <w:left w:w="57" w:type="dxa"/>
              <w:right w:w="57" w:type="dxa"/>
            </w:tcMar>
            <w:vAlign w:val="center"/>
            <w:hideMark/>
          </w:tcPr>
          <w:p w14:paraId="6E69EE8D"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( 56.5% )</w:t>
            </w:r>
          </w:p>
        </w:tc>
        <w:tc>
          <w:tcPr>
            <w:tcW w:w="774" w:type="dxa"/>
            <w:tcBorders>
              <w:top w:val="nil"/>
              <w:left w:val="nil"/>
              <w:bottom w:val="single" w:sz="4" w:space="0" w:color="auto"/>
              <w:right w:val="nil"/>
            </w:tcBorders>
            <w:shd w:val="clear" w:color="auto" w:fill="auto"/>
            <w:noWrap/>
            <w:tcMar>
              <w:left w:w="57" w:type="dxa"/>
              <w:right w:w="57" w:type="dxa"/>
            </w:tcMar>
            <w:vAlign w:val="center"/>
            <w:hideMark/>
          </w:tcPr>
          <w:p w14:paraId="70F187EA" w14:textId="77777777" w:rsidR="000401B4" w:rsidRDefault="000401B4" w:rsidP="008B18CA">
            <w:pPr>
              <w:jc w:val="right"/>
              <w:rPr>
                <w:rFonts w:ascii="Calibri" w:hAnsi="Calibri" w:cs="Calibri"/>
                <w:color w:val="000000"/>
                <w:sz w:val="22"/>
                <w:szCs w:val="22"/>
              </w:rPr>
            </w:pPr>
            <w:r>
              <w:rPr>
                <w:rFonts w:ascii="Calibri" w:hAnsi="Calibri" w:cs="Calibri"/>
                <w:color w:val="000000"/>
                <w:sz w:val="22"/>
                <w:szCs w:val="22"/>
              </w:rPr>
              <w:t>14</w:t>
            </w:r>
          </w:p>
        </w:tc>
        <w:tc>
          <w:tcPr>
            <w:tcW w:w="1084" w:type="dxa"/>
            <w:tcBorders>
              <w:top w:val="nil"/>
              <w:left w:val="nil"/>
              <w:bottom w:val="single" w:sz="4" w:space="0" w:color="auto"/>
              <w:right w:val="nil"/>
            </w:tcBorders>
            <w:shd w:val="clear" w:color="auto" w:fill="auto"/>
            <w:noWrap/>
            <w:tcMar>
              <w:left w:w="57" w:type="dxa"/>
              <w:right w:w="57" w:type="dxa"/>
            </w:tcMar>
            <w:vAlign w:val="center"/>
            <w:hideMark/>
          </w:tcPr>
          <w:p w14:paraId="7CF7FD09" w14:textId="77777777" w:rsidR="000401B4" w:rsidRDefault="000401B4" w:rsidP="008B18CA">
            <w:pPr>
              <w:rPr>
                <w:rFonts w:ascii="Calibri" w:hAnsi="Calibri" w:cs="Calibri"/>
                <w:color w:val="000000"/>
                <w:sz w:val="22"/>
                <w:szCs w:val="22"/>
              </w:rPr>
            </w:pPr>
            <w:r>
              <w:rPr>
                <w:rFonts w:ascii="Calibri" w:hAnsi="Calibri" w:cs="Calibri"/>
                <w:color w:val="000000"/>
                <w:sz w:val="22"/>
                <w:szCs w:val="22"/>
              </w:rPr>
              <w:t>( 43.8% )</w:t>
            </w:r>
          </w:p>
        </w:tc>
        <w:tc>
          <w:tcPr>
            <w:tcW w:w="1048" w:type="dxa"/>
            <w:tcBorders>
              <w:top w:val="nil"/>
              <w:left w:val="nil"/>
              <w:bottom w:val="single" w:sz="4" w:space="0" w:color="auto"/>
              <w:right w:val="nil"/>
            </w:tcBorders>
            <w:shd w:val="clear" w:color="auto" w:fill="auto"/>
            <w:noWrap/>
            <w:tcMar>
              <w:left w:w="57" w:type="dxa"/>
              <w:right w:w="57" w:type="dxa"/>
            </w:tcMar>
            <w:vAlign w:val="center"/>
            <w:hideMark/>
          </w:tcPr>
          <w:p w14:paraId="50B34B2A"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1.98</w:t>
            </w:r>
          </w:p>
        </w:tc>
        <w:tc>
          <w:tcPr>
            <w:tcW w:w="1048" w:type="dxa"/>
            <w:tcBorders>
              <w:top w:val="nil"/>
              <w:left w:val="nil"/>
              <w:bottom w:val="single" w:sz="4" w:space="0" w:color="auto"/>
              <w:right w:val="nil"/>
            </w:tcBorders>
            <w:shd w:val="clear" w:color="auto" w:fill="auto"/>
            <w:noWrap/>
            <w:tcMar>
              <w:left w:w="57" w:type="dxa"/>
              <w:right w:w="57" w:type="dxa"/>
            </w:tcMar>
            <w:vAlign w:val="center"/>
            <w:hideMark/>
          </w:tcPr>
          <w:p w14:paraId="09575EB5" w14:textId="77777777" w:rsidR="000401B4" w:rsidRDefault="000401B4" w:rsidP="008B18CA">
            <w:pPr>
              <w:jc w:val="center"/>
              <w:rPr>
                <w:rFonts w:ascii="Calibri" w:hAnsi="Calibri" w:cs="Calibri"/>
                <w:color w:val="000000"/>
                <w:sz w:val="22"/>
                <w:szCs w:val="22"/>
              </w:rPr>
            </w:pPr>
            <w:r>
              <w:rPr>
                <w:rFonts w:ascii="Calibri" w:hAnsi="Calibri" w:cs="Calibri"/>
                <w:color w:val="000000"/>
                <w:sz w:val="22"/>
                <w:szCs w:val="22"/>
              </w:rPr>
              <w:t>0.371</w:t>
            </w:r>
          </w:p>
        </w:tc>
      </w:tr>
    </w:tbl>
    <w:p w14:paraId="5831D160" w14:textId="77777777" w:rsidR="000401B4" w:rsidRDefault="000401B4" w:rsidP="000401B4">
      <w:pPr>
        <w:rPr>
          <w:i/>
          <w:sz w:val="20"/>
        </w:rPr>
      </w:pPr>
    </w:p>
    <w:p w14:paraId="0A3A2991" w14:textId="77777777" w:rsidR="000401B4" w:rsidRPr="00315ED4" w:rsidRDefault="000401B4" w:rsidP="000401B4">
      <w:pPr>
        <w:rPr>
          <w:sz w:val="20"/>
        </w:rPr>
      </w:pPr>
      <w:r w:rsidRPr="00315ED4">
        <w:rPr>
          <w:i/>
          <w:sz w:val="20"/>
        </w:rPr>
        <w:t>Notes</w:t>
      </w:r>
      <w:r w:rsidRPr="00315ED4">
        <w:rPr>
          <w:sz w:val="20"/>
        </w:rPr>
        <w:t>: The denominator (N=2374)</w:t>
      </w:r>
      <w:r>
        <w:rPr>
          <w:sz w:val="20"/>
        </w:rPr>
        <w:t xml:space="preserve"> </w:t>
      </w:r>
      <w:r w:rsidRPr="00315ED4">
        <w:rPr>
          <w:sz w:val="20"/>
        </w:rPr>
        <w:t xml:space="preserve">is the sample who met criteria for a mental disorder or reported suicidal ideation in the past month, except suicide disclosure was </w:t>
      </w:r>
      <w:r>
        <w:rPr>
          <w:sz w:val="20"/>
        </w:rPr>
        <w:t xml:space="preserve">restricted to </w:t>
      </w:r>
      <w:r w:rsidRPr="00315ED4">
        <w:rPr>
          <w:sz w:val="20"/>
        </w:rPr>
        <w:t xml:space="preserve">those who reported suicidal ideation in the past month (N=1323) and perceived need was </w:t>
      </w:r>
      <w:r>
        <w:rPr>
          <w:sz w:val="20"/>
        </w:rPr>
        <w:t xml:space="preserve">restricted to </w:t>
      </w:r>
      <w:r w:rsidRPr="00315ED4">
        <w:rPr>
          <w:sz w:val="20"/>
        </w:rPr>
        <w:t>those with a mental disorder or suicidal ideation who did not seek help from any formal or informal source (N=219)</w:t>
      </w:r>
      <w:r>
        <w:rPr>
          <w:sz w:val="20"/>
        </w:rPr>
        <w:t xml:space="preserve">; GP = general practitioner; </w:t>
      </w:r>
      <w:r>
        <w:rPr>
          <w:b/>
          <w:sz w:val="20"/>
        </w:rPr>
        <w:t>bold</w:t>
      </w:r>
      <w:r>
        <w:rPr>
          <w:sz w:val="20"/>
        </w:rPr>
        <w:t xml:space="preserve"> values represent </w:t>
      </w:r>
      <w:r w:rsidRPr="00315ED4">
        <w:rPr>
          <w:i/>
          <w:sz w:val="20"/>
        </w:rPr>
        <w:t>p</w:t>
      </w:r>
      <w:r>
        <w:rPr>
          <w:sz w:val="20"/>
        </w:rPr>
        <w:t>&lt;.05</w:t>
      </w:r>
    </w:p>
    <w:p w14:paraId="74596368" w14:textId="77777777" w:rsidR="000401B4" w:rsidRDefault="000401B4" w:rsidP="000401B4">
      <w:pPr>
        <w:spacing w:line="480" w:lineRule="auto"/>
      </w:pPr>
    </w:p>
    <w:p w14:paraId="244794C7" w14:textId="77777777" w:rsidR="0025263D" w:rsidRDefault="0025263D">
      <w:pPr>
        <w:spacing w:after="200" w:line="276" w:lineRule="auto"/>
      </w:pPr>
      <w:r>
        <w:br w:type="page"/>
      </w:r>
    </w:p>
    <w:p w14:paraId="692363D7" w14:textId="77777777" w:rsidR="000401B4" w:rsidRDefault="0025263D">
      <w:r w:rsidRPr="0025263D">
        <w:rPr>
          <w:u w:val="single"/>
        </w:rPr>
        <w:lastRenderedPageBreak/>
        <w:t>Table 3</w:t>
      </w:r>
      <w:r>
        <w:t>: Hierarchical logistic regression model of psychological service use</w:t>
      </w:r>
      <w:r w:rsidR="00FF4BF7">
        <w:t xml:space="preserve"> (N=2,373)</w:t>
      </w:r>
    </w:p>
    <w:p w14:paraId="0DBA2F3C" w14:textId="77777777" w:rsidR="0025263D" w:rsidRDefault="0025263D"/>
    <w:tbl>
      <w:tblPr>
        <w:tblW w:w="10754" w:type="dxa"/>
        <w:tblLook w:val="04A0" w:firstRow="1" w:lastRow="0" w:firstColumn="1" w:lastColumn="0" w:noHBand="0" w:noVBand="1"/>
      </w:tblPr>
      <w:tblGrid>
        <w:gridCol w:w="3362"/>
        <w:gridCol w:w="1231"/>
        <w:gridCol w:w="1233"/>
        <w:gridCol w:w="1231"/>
        <w:gridCol w:w="1233"/>
        <w:gridCol w:w="1231"/>
        <w:gridCol w:w="1233"/>
      </w:tblGrid>
      <w:tr w:rsidR="00FF4BF7" w:rsidRPr="0025263D" w14:paraId="3BC6621B" w14:textId="77777777" w:rsidTr="00825765">
        <w:trPr>
          <w:trHeight w:val="431"/>
        </w:trPr>
        <w:tc>
          <w:tcPr>
            <w:tcW w:w="3362" w:type="dxa"/>
            <w:tcBorders>
              <w:top w:val="single" w:sz="4" w:space="0" w:color="auto"/>
              <w:left w:val="nil"/>
              <w:bottom w:val="nil"/>
              <w:right w:val="nil"/>
            </w:tcBorders>
            <w:shd w:val="clear" w:color="auto" w:fill="auto"/>
            <w:noWrap/>
            <w:vAlign w:val="center"/>
          </w:tcPr>
          <w:p w14:paraId="3AB2DB80" w14:textId="77777777" w:rsidR="00FF4BF7" w:rsidRPr="0025263D" w:rsidRDefault="00FF4BF7" w:rsidP="0025263D">
            <w:pPr>
              <w:jc w:val="right"/>
              <w:rPr>
                <w:sz w:val="20"/>
                <w:szCs w:val="20"/>
              </w:rPr>
            </w:pPr>
          </w:p>
        </w:tc>
        <w:tc>
          <w:tcPr>
            <w:tcW w:w="2464" w:type="dxa"/>
            <w:gridSpan w:val="2"/>
            <w:tcBorders>
              <w:top w:val="single" w:sz="4" w:space="0" w:color="auto"/>
              <w:left w:val="nil"/>
              <w:bottom w:val="nil"/>
              <w:right w:val="nil"/>
            </w:tcBorders>
            <w:shd w:val="clear" w:color="auto" w:fill="auto"/>
            <w:noWrap/>
            <w:vAlign w:val="center"/>
          </w:tcPr>
          <w:p w14:paraId="7A9B9B02" w14:textId="77777777" w:rsidR="00FF4BF7" w:rsidRPr="0025263D" w:rsidRDefault="00FF4BF7" w:rsidP="0025263D">
            <w:pPr>
              <w:jc w:val="center"/>
              <w:rPr>
                <w:rFonts w:ascii="Calibri" w:hAnsi="Calibri" w:cs="Calibri"/>
                <w:color w:val="000000"/>
                <w:sz w:val="22"/>
                <w:szCs w:val="22"/>
              </w:rPr>
            </w:pPr>
            <w:r>
              <w:rPr>
                <w:rFonts w:ascii="Calibri" w:hAnsi="Calibri" w:cs="Calibri"/>
                <w:color w:val="000000"/>
                <w:sz w:val="22"/>
                <w:szCs w:val="22"/>
              </w:rPr>
              <w:t xml:space="preserve">Model 1: </w:t>
            </w:r>
            <w:r w:rsidR="00825765">
              <w:rPr>
                <w:rFonts w:ascii="Calibri" w:hAnsi="Calibri" w:cs="Calibri"/>
                <w:color w:val="000000"/>
                <w:sz w:val="22"/>
                <w:szCs w:val="22"/>
              </w:rPr>
              <w:t xml:space="preserve">residential </w:t>
            </w:r>
            <w:r>
              <w:rPr>
                <w:rFonts w:ascii="Calibri" w:hAnsi="Calibri" w:cs="Calibri"/>
                <w:color w:val="000000"/>
                <w:sz w:val="22"/>
                <w:szCs w:val="22"/>
              </w:rPr>
              <w:t>area and stigma</w:t>
            </w:r>
          </w:p>
        </w:tc>
        <w:tc>
          <w:tcPr>
            <w:tcW w:w="2464" w:type="dxa"/>
            <w:gridSpan w:val="2"/>
            <w:tcBorders>
              <w:top w:val="single" w:sz="4" w:space="0" w:color="auto"/>
              <w:left w:val="nil"/>
              <w:bottom w:val="nil"/>
              <w:right w:val="nil"/>
            </w:tcBorders>
            <w:shd w:val="clear" w:color="auto" w:fill="auto"/>
            <w:noWrap/>
            <w:vAlign w:val="center"/>
          </w:tcPr>
          <w:p w14:paraId="3E968FF1" w14:textId="77777777" w:rsidR="00FF4BF7" w:rsidRPr="0025263D" w:rsidRDefault="00FF4BF7" w:rsidP="00825765">
            <w:pPr>
              <w:jc w:val="center"/>
              <w:rPr>
                <w:rFonts w:ascii="Calibri" w:hAnsi="Calibri" w:cs="Calibri"/>
                <w:color w:val="000000"/>
                <w:sz w:val="22"/>
                <w:szCs w:val="22"/>
              </w:rPr>
            </w:pPr>
            <w:r>
              <w:rPr>
                <w:rFonts w:ascii="Calibri" w:hAnsi="Calibri" w:cs="Calibri"/>
                <w:color w:val="000000"/>
                <w:sz w:val="22"/>
                <w:szCs w:val="22"/>
              </w:rPr>
              <w:t xml:space="preserve">Model 2: </w:t>
            </w:r>
            <w:r w:rsidR="00825765">
              <w:rPr>
                <w:rFonts w:ascii="Calibri" w:hAnsi="Calibri" w:cs="Calibri"/>
                <w:color w:val="000000"/>
                <w:sz w:val="22"/>
                <w:szCs w:val="22"/>
              </w:rPr>
              <w:t>adding</w:t>
            </w:r>
            <w:r>
              <w:rPr>
                <w:rFonts w:ascii="Calibri" w:hAnsi="Calibri" w:cs="Calibri"/>
                <w:color w:val="000000"/>
                <w:sz w:val="22"/>
                <w:szCs w:val="22"/>
              </w:rPr>
              <w:t xml:space="preserve"> psychological distress</w:t>
            </w:r>
          </w:p>
        </w:tc>
        <w:tc>
          <w:tcPr>
            <w:tcW w:w="2464" w:type="dxa"/>
            <w:gridSpan w:val="2"/>
            <w:tcBorders>
              <w:top w:val="single" w:sz="4" w:space="0" w:color="auto"/>
              <w:left w:val="nil"/>
              <w:bottom w:val="nil"/>
              <w:right w:val="nil"/>
            </w:tcBorders>
            <w:shd w:val="clear" w:color="auto" w:fill="auto"/>
            <w:noWrap/>
            <w:vAlign w:val="center"/>
          </w:tcPr>
          <w:p w14:paraId="311CDFE7" w14:textId="77777777" w:rsidR="00FF4BF7" w:rsidRPr="0025263D" w:rsidRDefault="00FF4BF7" w:rsidP="00825765">
            <w:pPr>
              <w:jc w:val="center"/>
              <w:rPr>
                <w:rFonts w:ascii="Calibri" w:hAnsi="Calibri" w:cs="Calibri"/>
                <w:color w:val="000000"/>
                <w:sz w:val="22"/>
                <w:szCs w:val="22"/>
              </w:rPr>
            </w:pPr>
            <w:r>
              <w:rPr>
                <w:rFonts w:ascii="Calibri" w:hAnsi="Calibri" w:cs="Calibri"/>
                <w:color w:val="000000"/>
                <w:sz w:val="22"/>
                <w:szCs w:val="22"/>
              </w:rPr>
              <w:t xml:space="preserve">Model 3: </w:t>
            </w:r>
            <w:r w:rsidR="00825765">
              <w:rPr>
                <w:rFonts w:ascii="Calibri" w:hAnsi="Calibri" w:cs="Calibri"/>
                <w:color w:val="000000"/>
                <w:sz w:val="22"/>
                <w:szCs w:val="22"/>
              </w:rPr>
              <w:t>adding</w:t>
            </w:r>
            <w:r>
              <w:rPr>
                <w:rFonts w:ascii="Calibri" w:hAnsi="Calibri" w:cs="Calibri"/>
                <w:color w:val="000000"/>
                <w:sz w:val="22"/>
                <w:szCs w:val="22"/>
              </w:rPr>
              <w:t xml:space="preserve"> age and gender</w:t>
            </w:r>
          </w:p>
        </w:tc>
      </w:tr>
      <w:tr w:rsidR="0025263D" w:rsidRPr="0025263D" w14:paraId="60212C50" w14:textId="77777777" w:rsidTr="00825765">
        <w:trPr>
          <w:trHeight w:val="431"/>
        </w:trPr>
        <w:tc>
          <w:tcPr>
            <w:tcW w:w="3362" w:type="dxa"/>
            <w:tcBorders>
              <w:top w:val="nil"/>
              <w:left w:val="nil"/>
              <w:bottom w:val="single" w:sz="4" w:space="0" w:color="auto"/>
              <w:right w:val="nil"/>
            </w:tcBorders>
            <w:shd w:val="clear" w:color="auto" w:fill="auto"/>
            <w:noWrap/>
            <w:vAlign w:val="center"/>
            <w:hideMark/>
          </w:tcPr>
          <w:p w14:paraId="44AE80B2" w14:textId="77777777" w:rsidR="0025263D" w:rsidRPr="0025263D" w:rsidRDefault="0025263D" w:rsidP="0025263D">
            <w:pPr>
              <w:jc w:val="right"/>
              <w:rPr>
                <w:sz w:val="20"/>
                <w:szCs w:val="20"/>
              </w:rPr>
            </w:pPr>
          </w:p>
        </w:tc>
        <w:tc>
          <w:tcPr>
            <w:tcW w:w="1231" w:type="dxa"/>
            <w:tcBorders>
              <w:top w:val="nil"/>
              <w:left w:val="nil"/>
              <w:bottom w:val="single" w:sz="4" w:space="0" w:color="auto"/>
              <w:right w:val="nil"/>
            </w:tcBorders>
            <w:shd w:val="clear" w:color="auto" w:fill="auto"/>
            <w:noWrap/>
            <w:vAlign w:val="center"/>
            <w:hideMark/>
          </w:tcPr>
          <w:p w14:paraId="758C132A" w14:textId="77777777" w:rsidR="0025263D" w:rsidRPr="0025263D" w:rsidRDefault="0025263D" w:rsidP="0025263D">
            <w:pPr>
              <w:jc w:val="center"/>
              <w:rPr>
                <w:rFonts w:ascii="Calibri" w:hAnsi="Calibri" w:cs="Calibri"/>
                <w:color w:val="000000"/>
                <w:sz w:val="22"/>
                <w:szCs w:val="22"/>
              </w:rPr>
            </w:pPr>
            <w:r w:rsidRPr="0025263D">
              <w:rPr>
                <w:rFonts w:ascii="Calibri" w:hAnsi="Calibri" w:cs="Calibri"/>
                <w:color w:val="000000"/>
                <w:sz w:val="22"/>
                <w:szCs w:val="22"/>
              </w:rPr>
              <w:t>OR</w:t>
            </w:r>
          </w:p>
        </w:tc>
        <w:tc>
          <w:tcPr>
            <w:tcW w:w="1232" w:type="dxa"/>
            <w:tcBorders>
              <w:top w:val="nil"/>
              <w:left w:val="nil"/>
              <w:bottom w:val="single" w:sz="4" w:space="0" w:color="auto"/>
              <w:right w:val="nil"/>
            </w:tcBorders>
            <w:shd w:val="clear" w:color="auto" w:fill="auto"/>
            <w:noWrap/>
            <w:vAlign w:val="center"/>
            <w:hideMark/>
          </w:tcPr>
          <w:p w14:paraId="19C81EAF" w14:textId="77777777" w:rsidR="0025263D" w:rsidRPr="0025263D" w:rsidRDefault="0025263D" w:rsidP="0025263D">
            <w:pPr>
              <w:jc w:val="center"/>
              <w:rPr>
                <w:rFonts w:ascii="Calibri" w:hAnsi="Calibri" w:cs="Calibri"/>
                <w:color w:val="000000"/>
                <w:sz w:val="22"/>
                <w:szCs w:val="22"/>
              </w:rPr>
            </w:pPr>
            <w:r w:rsidRPr="0025263D">
              <w:rPr>
                <w:rFonts w:ascii="Calibri" w:hAnsi="Calibri" w:cs="Calibri"/>
                <w:color w:val="000000"/>
                <w:sz w:val="22"/>
                <w:szCs w:val="22"/>
              </w:rPr>
              <w:t>p</w:t>
            </w:r>
          </w:p>
        </w:tc>
        <w:tc>
          <w:tcPr>
            <w:tcW w:w="1231" w:type="dxa"/>
            <w:tcBorders>
              <w:top w:val="nil"/>
              <w:left w:val="nil"/>
              <w:bottom w:val="single" w:sz="4" w:space="0" w:color="auto"/>
              <w:right w:val="nil"/>
            </w:tcBorders>
            <w:shd w:val="clear" w:color="auto" w:fill="auto"/>
            <w:noWrap/>
            <w:vAlign w:val="center"/>
            <w:hideMark/>
          </w:tcPr>
          <w:p w14:paraId="2D4DCCC2" w14:textId="77777777" w:rsidR="0025263D" w:rsidRPr="0025263D" w:rsidRDefault="0025263D" w:rsidP="0025263D">
            <w:pPr>
              <w:jc w:val="center"/>
              <w:rPr>
                <w:rFonts w:ascii="Calibri" w:hAnsi="Calibri" w:cs="Calibri"/>
                <w:color w:val="000000"/>
                <w:sz w:val="22"/>
                <w:szCs w:val="22"/>
              </w:rPr>
            </w:pPr>
            <w:r w:rsidRPr="0025263D">
              <w:rPr>
                <w:rFonts w:ascii="Calibri" w:hAnsi="Calibri" w:cs="Calibri"/>
                <w:color w:val="000000"/>
                <w:sz w:val="22"/>
                <w:szCs w:val="22"/>
              </w:rPr>
              <w:t>OR</w:t>
            </w:r>
          </w:p>
        </w:tc>
        <w:tc>
          <w:tcPr>
            <w:tcW w:w="1232" w:type="dxa"/>
            <w:tcBorders>
              <w:top w:val="nil"/>
              <w:left w:val="nil"/>
              <w:bottom w:val="single" w:sz="4" w:space="0" w:color="auto"/>
              <w:right w:val="nil"/>
            </w:tcBorders>
            <w:shd w:val="clear" w:color="auto" w:fill="auto"/>
            <w:noWrap/>
            <w:vAlign w:val="center"/>
            <w:hideMark/>
          </w:tcPr>
          <w:p w14:paraId="1CB4F643" w14:textId="77777777" w:rsidR="0025263D" w:rsidRPr="0025263D" w:rsidRDefault="0025263D" w:rsidP="0025263D">
            <w:pPr>
              <w:jc w:val="center"/>
              <w:rPr>
                <w:rFonts w:ascii="Calibri" w:hAnsi="Calibri" w:cs="Calibri"/>
                <w:color w:val="000000"/>
                <w:sz w:val="22"/>
                <w:szCs w:val="22"/>
              </w:rPr>
            </w:pPr>
            <w:r w:rsidRPr="0025263D">
              <w:rPr>
                <w:rFonts w:ascii="Calibri" w:hAnsi="Calibri" w:cs="Calibri"/>
                <w:color w:val="000000"/>
                <w:sz w:val="22"/>
                <w:szCs w:val="22"/>
              </w:rPr>
              <w:t>p</w:t>
            </w:r>
          </w:p>
        </w:tc>
        <w:tc>
          <w:tcPr>
            <w:tcW w:w="1231" w:type="dxa"/>
            <w:tcBorders>
              <w:top w:val="nil"/>
              <w:left w:val="nil"/>
              <w:bottom w:val="single" w:sz="4" w:space="0" w:color="auto"/>
              <w:right w:val="nil"/>
            </w:tcBorders>
            <w:shd w:val="clear" w:color="auto" w:fill="auto"/>
            <w:noWrap/>
            <w:vAlign w:val="center"/>
            <w:hideMark/>
          </w:tcPr>
          <w:p w14:paraId="65581C43" w14:textId="77777777" w:rsidR="0025263D" w:rsidRPr="0025263D" w:rsidRDefault="0025263D" w:rsidP="0025263D">
            <w:pPr>
              <w:jc w:val="center"/>
              <w:rPr>
                <w:rFonts w:ascii="Calibri" w:hAnsi="Calibri" w:cs="Calibri"/>
                <w:color w:val="000000"/>
                <w:sz w:val="22"/>
                <w:szCs w:val="22"/>
              </w:rPr>
            </w:pPr>
            <w:r w:rsidRPr="0025263D">
              <w:rPr>
                <w:rFonts w:ascii="Calibri" w:hAnsi="Calibri" w:cs="Calibri"/>
                <w:color w:val="000000"/>
                <w:sz w:val="22"/>
                <w:szCs w:val="22"/>
              </w:rPr>
              <w:t>OR</w:t>
            </w:r>
          </w:p>
        </w:tc>
        <w:tc>
          <w:tcPr>
            <w:tcW w:w="1232" w:type="dxa"/>
            <w:tcBorders>
              <w:top w:val="nil"/>
              <w:left w:val="nil"/>
              <w:bottom w:val="single" w:sz="4" w:space="0" w:color="auto"/>
              <w:right w:val="nil"/>
            </w:tcBorders>
            <w:shd w:val="clear" w:color="auto" w:fill="auto"/>
            <w:noWrap/>
            <w:vAlign w:val="center"/>
            <w:hideMark/>
          </w:tcPr>
          <w:p w14:paraId="004131D3" w14:textId="77777777" w:rsidR="0025263D" w:rsidRPr="0025263D" w:rsidRDefault="0025263D" w:rsidP="0025263D">
            <w:pPr>
              <w:jc w:val="center"/>
              <w:rPr>
                <w:rFonts w:ascii="Calibri" w:hAnsi="Calibri" w:cs="Calibri"/>
                <w:color w:val="000000"/>
                <w:sz w:val="22"/>
                <w:szCs w:val="22"/>
              </w:rPr>
            </w:pPr>
            <w:r w:rsidRPr="0025263D">
              <w:rPr>
                <w:rFonts w:ascii="Calibri" w:hAnsi="Calibri" w:cs="Calibri"/>
                <w:color w:val="000000"/>
                <w:sz w:val="22"/>
                <w:szCs w:val="22"/>
              </w:rPr>
              <w:t>p</w:t>
            </w:r>
          </w:p>
        </w:tc>
      </w:tr>
      <w:tr w:rsidR="0025263D" w:rsidRPr="0025263D" w14:paraId="051164AE" w14:textId="77777777" w:rsidTr="00825765">
        <w:trPr>
          <w:trHeight w:val="431"/>
        </w:trPr>
        <w:tc>
          <w:tcPr>
            <w:tcW w:w="3362" w:type="dxa"/>
            <w:tcBorders>
              <w:top w:val="single" w:sz="4" w:space="0" w:color="auto"/>
              <w:left w:val="nil"/>
              <w:bottom w:val="nil"/>
              <w:right w:val="nil"/>
            </w:tcBorders>
            <w:shd w:val="clear" w:color="auto" w:fill="auto"/>
            <w:noWrap/>
            <w:vAlign w:val="center"/>
            <w:hideMark/>
          </w:tcPr>
          <w:p w14:paraId="73ADEFE6" w14:textId="77777777" w:rsidR="0025263D" w:rsidRPr="0025263D" w:rsidRDefault="0025263D" w:rsidP="0025263D">
            <w:pPr>
              <w:rPr>
                <w:rFonts w:ascii="Calibri" w:hAnsi="Calibri" w:cs="Calibri"/>
                <w:color w:val="000000"/>
                <w:sz w:val="22"/>
                <w:szCs w:val="22"/>
              </w:rPr>
            </w:pPr>
            <w:r w:rsidRPr="0025263D">
              <w:rPr>
                <w:rFonts w:ascii="Calibri" w:hAnsi="Calibri" w:cs="Calibri"/>
                <w:color w:val="000000"/>
                <w:sz w:val="22"/>
                <w:szCs w:val="22"/>
              </w:rPr>
              <w:t>Residential area</w:t>
            </w:r>
          </w:p>
        </w:tc>
        <w:tc>
          <w:tcPr>
            <w:tcW w:w="1231" w:type="dxa"/>
            <w:tcBorders>
              <w:top w:val="single" w:sz="4" w:space="0" w:color="auto"/>
              <w:left w:val="nil"/>
              <w:bottom w:val="nil"/>
              <w:right w:val="nil"/>
            </w:tcBorders>
            <w:shd w:val="clear" w:color="auto" w:fill="auto"/>
            <w:noWrap/>
            <w:vAlign w:val="center"/>
            <w:hideMark/>
          </w:tcPr>
          <w:p w14:paraId="72D935ED" w14:textId="77777777" w:rsidR="0025263D" w:rsidRPr="0025263D" w:rsidRDefault="0025263D" w:rsidP="0025263D">
            <w:pPr>
              <w:rPr>
                <w:rFonts w:ascii="Calibri" w:hAnsi="Calibri" w:cs="Calibri"/>
                <w:color w:val="000000"/>
                <w:sz w:val="22"/>
                <w:szCs w:val="22"/>
              </w:rPr>
            </w:pPr>
          </w:p>
        </w:tc>
        <w:tc>
          <w:tcPr>
            <w:tcW w:w="1232" w:type="dxa"/>
            <w:tcBorders>
              <w:top w:val="single" w:sz="4" w:space="0" w:color="auto"/>
              <w:left w:val="nil"/>
              <w:bottom w:val="nil"/>
              <w:right w:val="nil"/>
            </w:tcBorders>
            <w:shd w:val="clear" w:color="auto" w:fill="auto"/>
            <w:noWrap/>
            <w:vAlign w:val="center"/>
            <w:hideMark/>
          </w:tcPr>
          <w:p w14:paraId="11F6AA2E"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0.027</w:t>
            </w:r>
          </w:p>
        </w:tc>
        <w:tc>
          <w:tcPr>
            <w:tcW w:w="1231" w:type="dxa"/>
            <w:tcBorders>
              <w:top w:val="single" w:sz="4" w:space="0" w:color="auto"/>
              <w:left w:val="nil"/>
              <w:bottom w:val="nil"/>
              <w:right w:val="nil"/>
            </w:tcBorders>
            <w:shd w:val="clear" w:color="auto" w:fill="auto"/>
            <w:noWrap/>
            <w:vAlign w:val="center"/>
            <w:hideMark/>
          </w:tcPr>
          <w:p w14:paraId="3EEB5B89" w14:textId="77777777" w:rsidR="0025263D" w:rsidRPr="0025263D" w:rsidRDefault="0025263D" w:rsidP="0025263D">
            <w:pPr>
              <w:jc w:val="right"/>
              <w:rPr>
                <w:rFonts w:ascii="Calibri" w:hAnsi="Calibri" w:cs="Calibri"/>
                <w:b/>
                <w:bCs/>
                <w:color w:val="000000"/>
                <w:sz w:val="22"/>
                <w:szCs w:val="22"/>
              </w:rPr>
            </w:pPr>
          </w:p>
        </w:tc>
        <w:tc>
          <w:tcPr>
            <w:tcW w:w="1232" w:type="dxa"/>
            <w:tcBorders>
              <w:top w:val="single" w:sz="4" w:space="0" w:color="auto"/>
              <w:left w:val="nil"/>
              <w:bottom w:val="nil"/>
              <w:right w:val="nil"/>
            </w:tcBorders>
            <w:shd w:val="clear" w:color="auto" w:fill="auto"/>
            <w:noWrap/>
            <w:vAlign w:val="center"/>
            <w:hideMark/>
          </w:tcPr>
          <w:p w14:paraId="662372C8"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0.061</w:t>
            </w:r>
          </w:p>
        </w:tc>
        <w:tc>
          <w:tcPr>
            <w:tcW w:w="1231" w:type="dxa"/>
            <w:tcBorders>
              <w:top w:val="single" w:sz="4" w:space="0" w:color="auto"/>
              <w:left w:val="nil"/>
              <w:bottom w:val="nil"/>
              <w:right w:val="nil"/>
            </w:tcBorders>
            <w:shd w:val="clear" w:color="auto" w:fill="auto"/>
            <w:noWrap/>
            <w:vAlign w:val="center"/>
            <w:hideMark/>
          </w:tcPr>
          <w:p w14:paraId="78F73E97" w14:textId="77777777" w:rsidR="0025263D" w:rsidRPr="0025263D" w:rsidRDefault="0025263D" w:rsidP="0025263D">
            <w:pPr>
              <w:jc w:val="right"/>
              <w:rPr>
                <w:rFonts w:ascii="Calibri" w:hAnsi="Calibri" w:cs="Calibri"/>
                <w:color w:val="000000"/>
                <w:sz w:val="22"/>
                <w:szCs w:val="22"/>
              </w:rPr>
            </w:pPr>
          </w:p>
        </w:tc>
        <w:tc>
          <w:tcPr>
            <w:tcW w:w="1232" w:type="dxa"/>
            <w:tcBorders>
              <w:top w:val="single" w:sz="4" w:space="0" w:color="auto"/>
              <w:left w:val="nil"/>
              <w:bottom w:val="nil"/>
              <w:right w:val="nil"/>
            </w:tcBorders>
            <w:shd w:val="clear" w:color="auto" w:fill="auto"/>
            <w:noWrap/>
            <w:vAlign w:val="center"/>
            <w:hideMark/>
          </w:tcPr>
          <w:p w14:paraId="40292230"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0.220</w:t>
            </w:r>
          </w:p>
        </w:tc>
      </w:tr>
      <w:tr w:rsidR="0025263D" w:rsidRPr="0025263D" w14:paraId="5AA9A7FD" w14:textId="77777777" w:rsidTr="00825765">
        <w:trPr>
          <w:trHeight w:val="431"/>
        </w:trPr>
        <w:tc>
          <w:tcPr>
            <w:tcW w:w="3362" w:type="dxa"/>
            <w:tcBorders>
              <w:top w:val="nil"/>
              <w:left w:val="nil"/>
              <w:bottom w:val="nil"/>
              <w:right w:val="nil"/>
            </w:tcBorders>
            <w:shd w:val="clear" w:color="auto" w:fill="auto"/>
            <w:noWrap/>
            <w:vAlign w:val="center"/>
            <w:hideMark/>
          </w:tcPr>
          <w:p w14:paraId="07502781" w14:textId="77777777" w:rsidR="0025263D" w:rsidRPr="0025263D" w:rsidRDefault="0025263D" w:rsidP="0025263D">
            <w:pPr>
              <w:ind w:firstLineChars="100" w:firstLine="220"/>
              <w:rPr>
                <w:rFonts w:ascii="Calibri" w:hAnsi="Calibri" w:cs="Calibri"/>
                <w:color w:val="000000"/>
                <w:sz w:val="22"/>
                <w:szCs w:val="22"/>
              </w:rPr>
            </w:pPr>
            <w:r w:rsidRPr="0025263D">
              <w:rPr>
                <w:rFonts w:ascii="Calibri" w:hAnsi="Calibri" w:cs="Calibri"/>
                <w:color w:val="000000"/>
                <w:sz w:val="22"/>
                <w:szCs w:val="22"/>
              </w:rPr>
              <w:t>Regional vs metropolitan</w:t>
            </w:r>
          </w:p>
        </w:tc>
        <w:tc>
          <w:tcPr>
            <w:tcW w:w="1231" w:type="dxa"/>
            <w:tcBorders>
              <w:top w:val="nil"/>
              <w:left w:val="nil"/>
              <w:bottom w:val="nil"/>
              <w:right w:val="nil"/>
            </w:tcBorders>
            <w:shd w:val="clear" w:color="auto" w:fill="auto"/>
            <w:noWrap/>
            <w:vAlign w:val="center"/>
            <w:hideMark/>
          </w:tcPr>
          <w:p w14:paraId="29082D7F"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0.934</w:t>
            </w:r>
          </w:p>
        </w:tc>
        <w:tc>
          <w:tcPr>
            <w:tcW w:w="1232" w:type="dxa"/>
            <w:tcBorders>
              <w:top w:val="nil"/>
              <w:left w:val="nil"/>
              <w:bottom w:val="nil"/>
              <w:right w:val="nil"/>
            </w:tcBorders>
            <w:shd w:val="clear" w:color="auto" w:fill="auto"/>
            <w:noWrap/>
            <w:vAlign w:val="center"/>
            <w:hideMark/>
          </w:tcPr>
          <w:p w14:paraId="39C62C5E"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0.480</w:t>
            </w:r>
          </w:p>
        </w:tc>
        <w:tc>
          <w:tcPr>
            <w:tcW w:w="1231" w:type="dxa"/>
            <w:tcBorders>
              <w:top w:val="nil"/>
              <w:left w:val="nil"/>
              <w:bottom w:val="nil"/>
              <w:right w:val="nil"/>
            </w:tcBorders>
            <w:shd w:val="clear" w:color="auto" w:fill="auto"/>
            <w:noWrap/>
            <w:vAlign w:val="center"/>
            <w:hideMark/>
          </w:tcPr>
          <w:p w14:paraId="02A0D3B7"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0.912</w:t>
            </w:r>
          </w:p>
        </w:tc>
        <w:tc>
          <w:tcPr>
            <w:tcW w:w="1232" w:type="dxa"/>
            <w:tcBorders>
              <w:top w:val="nil"/>
              <w:left w:val="nil"/>
              <w:bottom w:val="nil"/>
              <w:right w:val="nil"/>
            </w:tcBorders>
            <w:shd w:val="clear" w:color="auto" w:fill="auto"/>
            <w:noWrap/>
            <w:vAlign w:val="center"/>
            <w:hideMark/>
          </w:tcPr>
          <w:p w14:paraId="6EE6C47B"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0.349</w:t>
            </w:r>
          </w:p>
        </w:tc>
        <w:tc>
          <w:tcPr>
            <w:tcW w:w="1231" w:type="dxa"/>
            <w:tcBorders>
              <w:top w:val="nil"/>
              <w:left w:val="nil"/>
              <w:bottom w:val="nil"/>
              <w:right w:val="nil"/>
            </w:tcBorders>
            <w:shd w:val="clear" w:color="auto" w:fill="auto"/>
            <w:noWrap/>
            <w:vAlign w:val="center"/>
            <w:hideMark/>
          </w:tcPr>
          <w:p w14:paraId="260C9AF3"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0.956</w:t>
            </w:r>
          </w:p>
        </w:tc>
        <w:tc>
          <w:tcPr>
            <w:tcW w:w="1232" w:type="dxa"/>
            <w:tcBorders>
              <w:top w:val="nil"/>
              <w:left w:val="nil"/>
              <w:bottom w:val="nil"/>
              <w:right w:val="nil"/>
            </w:tcBorders>
            <w:shd w:val="clear" w:color="auto" w:fill="auto"/>
            <w:noWrap/>
            <w:vAlign w:val="center"/>
            <w:hideMark/>
          </w:tcPr>
          <w:p w14:paraId="4CA114D9"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0.653</w:t>
            </w:r>
          </w:p>
        </w:tc>
      </w:tr>
      <w:tr w:rsidR="0025263D" w:rsidRPr="0025263D" w14:paraId="378AEE3E" w14:textId="77777777" w:rsidTr="00825765">
        <w:trPr>
          <w:trHeight w:val="431"/>
        </w:trPr>
        <w:tc>
          <w:tcPr>
            <w:tcW w:w="3362" w:type="dxa"/>
            <w:tcBorders>
              <w:top w:val="nil"/>
              <w:left w:val="nil"/>
              <w:bottom w:val="nil"/>
              <w:right w:val="nil"/>
            </w:tcBorders>
            <w:shd w:val="clear" w:color="auto" w:fill="auto"/>
            <w:noWrap/>
            <w:vAlign w:val="center"/>
            <w:hideMark/>
          </w:tcPr>
          <w:p w14:paraId="399E88FA" w14:textId="77777777" w:rsidR="0025263D" w:rsidRPr="0025263D" w:rsidRDefault="0025263D" w:rsidP="0025263D">
            <w:pPr>
              <w:ind w:firstLineChars="100" w:firstLine="220"/>
              <w:rPr>
                <w:rFonts w:ascii="Calibri" w:hAnsi="Calibri" w:cs="Calibri"/>
                <w:color w:val="000000"/>
                <w:sz w:val="22"/>
                <w:szCs w:val="22"/>
              </w:rPr>
            </w:pPr>
            <w:r w:rsidRPr="0025263D">
              <w:rPr>
                <w:rFonts w:ascii="Calibri" w:hAnsi="Calibri" w:cs="Calibri"/>
                <w:color w:val="000000"/>
                <w:sz w:val="22"/>
                <w:szCs w:val="22"/>
              </w:rPr>
              <w:t>Rural vs metropolitan</w:t>
            </w:r>
          </w:p>
        </w:tc>
        <w:tc>
          <w:tcPr>
            <w:tcW w:w="1231" w:type="dxa"/>
            <w:tcBorders>
              <w:top w:val="nil"/>
              <w:left w:val="nil"/>
              <w:bottom w:val="nil"/>
              <w:right w:val="nil"/>
            </w:tcBorders>
            <w:shd w:val="clear" w:color="auto" w:fill="auto"/>
            <w:noWrap/>
            <w:vAlign w:val="center"/>
            <w:hideMark/>
          </w:tcPr>
          <w:p w14:paraId="11F9A029"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0.648</w:t>
            </w:r>
          </w:p>
        </w:tc>
        <w:tc>
          <w:tcPr>
            <w:tcW w:w="1232" w:type="dxa"/>
            <w:tcBorders>
              <w:top w:val="nil"/>
              <w:left w:val="nil"/>
              <w:bottom w:val="nil"/>
              <w:right w:val="nil"/>
            </w:tcBorders>
            <w:shd w:val="clear" w:color="auto" w:fill="auto"/>
            <w:noWrap/>
            <w:vAlign w:val="center"/>
            <w:hideMark/>
          </w:tcPr>
          <w:p w14:paraId="3082075B"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0.007</w:t>
            </w:r>
          </w:p>
        </w:tc>
        <w:tc>
          <w:tcPr>
            <w:tcW w:w="1231" w:type="dxa"/>
            <w:tcBorders>
              <w:top w:val="nil"/>
              <w:left w:val="nil"/>
              <w:bottom w:val="nil"/>
              <w:right w:val="nil"/>
            </w:tcBorders>
            <w:shd w:val="clear" w:color="auto" w:fill="auto"/>
            <w:noWrap/>
            <w:vAlign w:val="center"/>
            <w:hideMark/>
          </w:tcPr>
          <w:p w14:paraId="07610C52"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0.681</w:t>
            </w:r>
          </w:p>
        </w:tc>
        <w:tc>
          <w:tcPr>
            <w:tcW w:w="1232" w:type="dxa"/>
            <w:tcBorders>
              <w:top w:val="nil"/>
              <w:left w:val="nil"/>
              <w:bottom w:val="nil"/>
              <w:right w:val="nil"/>
            </w:tcBorders>
            <w:shd w:val="clear" w:color="auto" w:fill="auto"/>
            <w:noWrap/>
            <w:vAlign w:val="center"/>
            <w:hideMark/>
          </w:tcPr>
          <w:p w14:paraId="31226C99"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0.019</w:t>
            </w:r>
          </w:p>
        </w:tc>
        <w:tc>
          <w:tcPr>
            <w:tcW w:w="1231" w:type="dxa"/>
            <w:tcBorders>
              <w:top w:val="nil"/>
              <w:left w:val="nil"/>
              <w:bottom w:val="nil"/>
              <w:right w:val="nil"/>
            </w:tcBorders>
            <w:shd w:val="clear" w:color="auto" w:fill="auto"/>
            <w:noWrap/>
            <w:vAlign w:val="center"/>
            <w:hideMark/>
          </w:tcPr>
          <w:p w14:paraId="10ACF603"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0.747</w:t>
            </w:r>
          </w:p>
        </w:tc>
        <w:tc>
          <w:tcPr>
            <w:tcW w:w="1232" w:type="dxa"/>
            <w:tcBorders>
              <w:top w:val="nil"/>
              <w:left w:val="nil"/>
              <w:bottom w:val="nil"/>
              <w:right w:val="nil"/>
            </w:tcBorders>
            <w:shd w:val="clear" w:color="auto" w:fill="auto"/>
            <w:noWrap/>
            <w:vAlign w:val="center"/>
            <w:hideMark/>
          </w:tcPr>
          <w:p w14:paraId="56668F0E"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0.082</w:t>
            </w:r>
          </w:p>
        </w:tc>
      </w:tr>
      <w:tr w:rsidR="0025263D" w:rsidRPr="0025263D" w14:paraId="4AFF219B" w14:textId="77777777" w:rsidTr="00825765">
        <w:trPr>
          <w:trHeight w:val="431"/>
        </w:trPr>
        <w:tc>
          <w:tcPr>
            <w:tcW w:w="3362" w:type="dxa"/>
            <w:tcBorders>
              <w:top w:val="nil"/>
              <w:left w:val="nil"/>
              <w:bottom w:val="nil"/>
              <w:right w:val="nil"/>
            </w:tcBorders>
            <w:shd w:val="clear" w:color="auto" w:fill="auto"/>
            <w:noWrap/>
            <w:vAlign w:val="center"/>
            <w:hideMark/>
          </w:tcPr>
          <w:p w14:paraId="67E2986A" w14:textId="77777777" w:rsidR="0025263D" w:rsidRPr="0025263D" w:rsidRDefault="0025263D" w:rsidP="0025263D">
            <w:pPr>
              <w:rPr>
                <w:rFonts w:ascii="Calibri" w:hAnsi="Calibri" w:cs="Calibri"/>
                <w:color w:val="000000"/>
                <w:sz w:val="22"/>
                <w:szCs w:val="22"/>
              </w:rPr>
            </w:pPr>
            <w:r w:rsidRPr="0025263D">
              <w:rPr>
                <w:rFonts w:ascii="Calibri" w:hAnsi="Calibri" w:cs="Calibri"/>
                <w:color w:val="000000"/>
                <w:sz w:val="22"/>
                <w:szCs w:val="22"/>
              </w:rPr>
              <w:t>SOSS stigma score</w:t>
            </w:r>
          </w:p>
        </w:tc>
        <w:tc>
          <w:tcPr>
            <w:tcW w:w="1231" w:type="dxa"/>
            <w:tcBorders>
              <w:top w:val="nil"/>
              <w:left w:val="nil"/>
              <w:bottom w:val="nil"/>
              <w:right w:val="nil"/>
            </w:tcBorders>
            <w:shd w:val="clear" w:color="auto" w:fill="auto"/>
            <w:noWrap/>
            <w:vAlign w:val="center"/>
            <w:hideMark/>
          </w:tcPr>
          <w:p w14:paraId="7AFDF6D1"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0.979</w:t>
            </w:r>
          </w:p>
        </w:tc>
        <w:tc>
          <w:tcPr>
            <w:tcW w:w="1232" w:type="dxa"/>
            <w:tcBorders>
              <w:top w:val="nil"/>
              <w:left w:val="nil"/>
              <w:bottom w:val="nil"/>
              <w:right w:val="nil"/>
            </w:tcBorders>
            <w:shd w:val="clear" w:color="auto" w:fill="auto"/>
            <w:noWrap/>
            <w:vAlign w:val="center"/>
            <w:hideMark/>
          </w:tcPr>
          <w:p w14:paraId="7BF2A7BC"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0.004</w:t>
            </w:r>
          </w:p>
        </w:tc>
        <w:tc>
          <w:tcPr>
            <w:tcW w:w="1231" w:type="dxa"/>
            <w:tcBorders>
              <w:top w:val="nil"/>
              <w:left w:val="nil"/>
              <w:bottom w:val="nil"/>
              <w:right w:val="nil"/>
            </w:tcBorders>
            <w:shd w:val="clear" w:color="auto" w:fill="auto"/>
            <w:noWrap/>
            <w:vAlign w:val="center"/>
            <w:hideMark/>
          </w:tcPr>
          <w:p w14:paraId="2719C239"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0.981</w:t>
            </w:r>
          </w:p>
        </w:tc>
        <w:tc>
          <w:tcPr>
            <w:tcW w:w="1232" w:type="dxa"/>
            <w:tcBorders>
              <w:top w:val="nil"/>
              <w:left w:val="nil"/>
              <w:bottom w:val="nil"/>
              <w:right w:val="nil"/>
            </w:tcBorders>
            <w:shd w:val="clear" w:color="auto" w:fill="auto"/>
            <w:noWrap/>
            <w:vAlign w:val="center"/>
            <w:hideMark/>
          </w:tcPr>
          <w:p w14:paraId="223CBFFA"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0.011</w:t>
            </w:r>
          </w:p>
        </w:tc>
        <w:tc>
          <w:tcPr>
            <w:tcW w:w="1231" w:type="dxa"/>
            <w:tcBorders>
              <w:top w:val="nil"/>
              <w:left w:val="nil"/>
              <w:bottom w:val="nil"/>
              <w:right w:val="nil"/>
            </w:tcBorders>
            <w:shd w:val="clear" w:color="auto" w:fill="auto"/>
            <w:noWrap/>
            <w:vAlign w:val="center"/>
            <w:hideMark/>
          </w:tcPr>
          <w:p w14:paraId="0F9DA74D"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0.985</w:t>
            </w:r>
          </w:p>
        </w:tc>
        <w:tc>
          <w:tcPr>
            <w:tcW w:w="1232" w:type="dxa"/>
            <w:tcBorders>
              <w:top w:val="nil"/>
              <w:left w:val="nil"/>
              <w:bottom w:val="nil"/>
              <w:right w:val="nil"/>
            </w:tcBorders>
            <w:shd w:val="clear" w:color="auto" w:fill="auto"/>
            <w:noWrap/>
            <w:vAlign w:val="center"/>
            <w:hideMark/>
          </w:tcPr>
          <w:p w14:paraId="2E27E168"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0.044</w:t>
            </w:r>
          </w:p>
        </w:tc>
      </w:tr>
      <w:tr w:rsidR="0025263D" w:rsidRPr="0025263D" w14:paraId="308D8070" w14:textId="77777777" w:rsidTr="00825765">
        <w:trPr>
          <w:trHeight w:val="431"/>
        </w:trPr>
        <w:tc>
          <w:tcPr>
            <w:tcW w:w="3362" w:type="dxa"/>
            <w:tcBorders>
              <w:top w:val="nil"/>
              <w:left w:val="nil"/>
              <w:bottom w:val="nil"/>
              <w:right w:val="nil"/>
            </w:tcBorders>
            <w:shd w:val="clear" w:color="auto" w:fill="auto"/>
            <w:noWrap/>
            <w:vAlign w:val="center"/>
            <w:hideMark/>
          </w:tcPr>
          <w:p w14:paraId="38B91472" w14:textId="77777777" w:rsidR="0025263D" w:rsidRPr="0025263D" w:rsidRDefault="0025263D" w:rsidP="0025263D">
            <w:pPr>
              <w:rPr>
                <w:rFonts w:ascii="Calibri" w:hAnsi="Calibri" w:cs="Calibri"/>
                <w:color w:val="000000"/>
                <w:sz w:val="22"/>
                <w:szCs w:val="22"/>
              </w:rPr>
            </w:pPr>
            <w:r w:rsidRPr="0025263D">
              <w:rPr>
                <w:rFonts w:ascii="Calibri" w:hAnsi="Calibri" w:cs="Calibri"/>
                <w:color w:val="000000"/>
                <w:sz w:val="22"/>
                <w:szCs w:val="22"/>
              </w:rPr>
              <w:t>DQ5 distress score</w:t>
            </w:r>
          </w:p>
        </w:tc>
        <w:tc>
          <w:tcPr>
            <w:tcW w:w="1231" w:type="dxa"/>
            <w:tcBorders>
              <w:top w:val="nil"/>
              <w:left w:val="nil"/>
              <w:bottom w:val="nil"/>
              <w:right w:val="nil"/>
            </w:tcBorders>
            <w:shd w:val="clear" w:color="auto" w:fill="auto"/>
            <w:noWrap/>
            <w:vAlign w:val="center"/>
            <w:hideMark/>
          </w:tcPr>
          <w:p w14:paraId="2F522ACA" w14:textId="77777777" w:rsidR="0025263D" w:rsidRPr="0025263D" w:rsidRDefault="0025263D" w:rsidP="0025263D">
            <w:pPr>
              <w:rPr>
                <w:rFonts w:ascii="Calibri" w:hAnsi="Calibri" w:cs="Calibri"/>
                <w:color w:val="000000"/>
                <w:sz w:val="22"/>
                <w:szCs w:val="22"/>
              </w:rPr>
            </w:pPr>
          </w:p>
        </w:tc>
        <w:tc>
          <w:tcPr>
            <w:tcW w:w="1232" w:type="dxa"/>
            <w:tcBorders>
              <w:top w:val="nil"/>
              <w:left w:val="nil"/>
              <w:bottom w:val="nil"/>
              <w:right w:val="nil"/>
            </w:tcBorders>
            <w:shd w:val="clear" w:color="auto" w:fill="auto"/>
            <w:noWrap/>
            <w:vAlign w:val="center"/>
            <w:hideMark/>
          </w:tcPr>
          <w:p w14:paraId="7E4044E5"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02A00A45"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1.100</w:t>
            </w:r>
          </w:p>
        </w:tc>
        <w:tc>
          <w:tcPr>
            <w:tcW w:w="1232" w:type="dxa"/>
            <w:tcBorders>
              <w:top w:val="nil"/>
              <w:left w:val="nil"/>
              <w:bottom w:val="nil"/>
              <w:right w:val="nil"/>
            </w:tcBorders>
            <w:shd w:val="clear" w:color="auto" w:fill="auto"/>
            <w:noWrap/>
            <w:vAlign w:val="center"/>
            <w:hideMark/>
          </w:tcPr>
          <w:p w14:paraId="50B69CF5"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&lt;0.001</w:t>
            </w:r>
          </w:p>
        </w:tc>
        <w:tc>
          <w:tcPr>
            <w:tcW w:w="1231" w:type="dxa"/>
            <w:tcBorders>
              <w:top w:val="nil"/>
              <w:left w:val="nil"/>
              <w:bottom w:val="nil"/>
              <w:right w:val="nil"/>
            </w:tcBorders>
            <w:shd w:val="clear" w:color="auto" w:fill="auto"/>
            <w:noWrap/>
            <w:vAlign w:val="center"/>
            <w:hideMark/>
          </w:tcPr>
          <w:p w14:paraId="08B03D13"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1.090</w:t>
            </w:r>
          </w:p>
        </w:tc>
        <w:tc>
          <w:tcPr>
            <w:tcW w:w="1232" w:type="dxa"/>
            <w:tcBorders>
              <w:top w:val="nil"/>
              <w:left w:val="nil"/>
              <w:bottom w:val="nil"/>
              <w:right w:val="nil"/>
            </w:tcBorders>
            <w:shd w:val="clear" w:color="auto" w:fill="auto"/>
            <w:noWrap/>
            <w:vAlign w:val="center"/>
            <w:hideMark/>
          </w:tcPr>
          <w:p w14:paraId="6C23B2C1"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&lt;0.001</w:t>
            </w:r>
          </w:p>
        </w:tc>
      </w:tr>
      <w:tr w:rsidR="0025263D" w:rsidRPr="0025263D" w14:paraId="06D0ECA4" w14:textId="77777777" w:rsidTr="00825765">
        <w:trPr>
          <w:trHeight w:val="431"/>
        </w:trPr>
        <w:tc>
          <w:tcPr>
            <w:tcW w:w="3362" w:type="dxa"/>
            <w:tcBorders>
              <w:top w:val="nil"/>
              <w:left w:val="nil"/>
              <w:bottom w:val="nil"/>
              <w:right w:val="nil"/>
            </w:tcBorders>
            <w:shd w:val="clear" w:color="auto" w:fill="auto"/>
            <w:noWrap/>
            <w:vAlign w:val="center"/>
            <w:hideMark/>
          </w:tcPr>
          <w:p w14:paraId="3F8518F0" w14:textId="77777777" w:rsidR="0025263D" w:rsidRPr="0025263D" w:rsidRDefault="0025263D" w:rsidP="0025263D">
            <w:pPr>
              <w:rPr>
                <w:rFonts w:ascii="Calibri" w:hAnsi="Calibri" w:cs="Calibri"/>
                <w:color w:val="000000"/>
                <w:sz w:val="22"/>
                <w:szCs w:val="22"/>
              </w:rPr>
            </w:pPr>
            <w:r w:rsidRPr="0025263D">
              <w:rPr>
                <w:rFonts w:ascii="Calibri" w:hAnsi="Calibri" w:cs="Calibri"/>
                <w:color w:val="000000"/>
                <w:sz w:val="22"/>
                <w:szCs w:val="22"/>
              </w:rPr>
              <w:t>Age group</w:t>
            </w:r>
          </w:p>
        </w:tc>
        <w:tc>
          <w:tcPr>
            <w:tcW w:w="1231" w:type="dxa"/>
            <w:tcBorders>
              <w:top w:val="nil"/>
              <w:left w:val="nil"/>
              <w:bottom w:val="nil"/>
              <w:right w:val="nil"/>
            </w:tcBorders>
            <w:shd w:val="clear" w:color="auto" w:fill="auto"/>
            <w:noWrap/>
            <w:vAlign w:val="center"/>
            <w:hideMark/>
          </w:tcPr>
          <w:p w14:paraId="701A7744" w14:textId="77777777" w:rsidR="0025263D" w:rsidRPr="0025263D" w:rsidRDefault="0025263D" w:rsidP="0025263D">
            <w:pPr>
              <w:rPr>
                <w:rFonts w:ascii="Calibri" w:hAnsi="Calibri" w:cs="Calibri"/>
                <w:color w:val="000000"/>
                <w:sz w:val="22"/>
                <w:szCs w:val="22"/>
              </w:rPr>
            </w:pPr>
          </w:p>
        </w:tc>
        <w:tc>
          <w:tcPr>
            <w:tcW w:w="1232" w:type="dxa"/>
            <w:tcBorders>
              <w:top w:val="nil"/>
              <w:left w:val="nil"/>
              <w:bottom w:val="nil"/>
              <w:right w:val="nil"/>
            </w:tcBorders>
            <w:shd w:val="clear" w:color="auto" w:fill="auto"/>
            <w:noWrap/>
            <w:vAlign w:val="center"/>
            <w:hideMark/>
          </w:tcPr>
          <w:p w14:paraId="425E61DD"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39DD465C" w14:textId="77777777" w:rsidR="0025263D" w:rsidRPr="0025263D" w:rsidRDefault="0025263D" w:rsidP="0025263D">
            <w:pPr>
              <w:rPr>
                <w:sz w:val="20"/>
                <w:szCs w:val="20"/>
              </w:rPr>
            </w:pPr>
          </w:p>
        </w:tc>
        <w:tc>
          <w:tcPr>
            <w:tcW w:w="1232" w:type="dxa"/>
            <w:tcBorders>
              <w:top w:val="nil"/>
              <w:left w:val="nil"/>
              <w:bottom w:val="nil"/>
              <w:right w:val="nil"/>
            </w:tcBorders>
            <w:shd w:val="clear" w:color="auto" w:fill="auto"/>
            <w:noWrap/>
            <w:vAlign w:val="center"/>
            <w:hideMark/>
          </w:tcPr>
          <w:p w14:paraId="78E1008C"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6ADF05D9" w14:textId="77777777" w:rsidR="0025263D" w:rsidRPr="0025263D" w:rsidRDefault="0025263D" w:rsidP="0025263D">
            <w:pPr>
              <w:rPr>
                <w:sz w:val="20"/>
                <w:szCs w:val="20"/>
              </w:rPr>
            </w:pPr>
          </w:p>
        </w:tc>
        <w:tc>
          <w:tcPr>
            <w:tcW w:w="1232" w:type="dxa"/>
            <w:tcBorders>
              <w:top w:val="nil"/>
              <w:left w:val="nil"/>
              <w:bottom w:val="nil"/>
              <w:right w:val="nil"/>
            </w:tcBorders>
            <w:shd w:val="clear" w:color="auto" w:fill="auto"/>
            <w:noWrap/>
            <w:vAlign w:val="center"/>
            <w:hideMark/>
          </w:tcPr>
          <w:p w14:paraId="08F053F1"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&lt;0.001</w:t>
            </w:r>
          </w:p>
        </w:tc>
      </w:tr>
      <w:tr w:rsidR="0025263D" w:rsidRPr="0025263D" w14:paraId="26BC5CD1" w14:textId="77777777" w:rsidTr="00825765">
        <w:trPr>
          <w:trHeight w:val="431"/>
        </w:trPr>
        <w:tc>
          <w:tcPr>
            <w:tcW w:w="3362" w:type="dxa"/>
            <w:tcBorders>
              <w:top w:val="nil"/>
              <w:left w:val="nil"/>
              <w:bottom w:val="nil"/>
              <w:right w:val="nil"/>
            </w:tcBorders>
            <w:shd w:val="clear" w:color="auto" w:fill="auto"/>
            <w:noWrap/>
            <w:vAlign w:val="center"/>
            <w:hideMark/>
          </w:tcPr>
          <w:p w14:paraId="181309E0" w14:textId="77777777" w:rsidR="0025263D" w:rsidRPr="0025263D" w:rsidRDefault="0025263D" w:rsidP="0025263D">
            <w:pPr>
              <w:ind w:firstLineChars="100" w:firstLine="220"/>
              <w:rPr>
                <w:rFonts w:ascii="Calibri" w:hAnsi="Calibri" w:cs="Calibri"/>
                <w:color w:val="000000"/>
                <w:sz w:val="22"/>
                <w:szCs w:val="22"/>
              </w:rPr>
            </w:pPr>
            <w:r w:rsidRPr="0025263D">
              <w:rPr>
                <w:rFonts w:ascii="Calibri" w:hAnsi="Calibri" w:cs="Calibri"/>
                <w:color w:val="000000"/>
                <w:sz w:val="22"/>
                <w:szCs w:val="22"/>
              </w:rPr>
              <w:t>18-35 vs 56+</w:t>
            </w:r>
          </w:p>
        </w:tc>
        <w:tc>
          <w:tcPr>
            <w:tcW w:w="1231" w:type="dxa"/>
            <w:tcBorders>
              <w:top w:val="nil"/>
              <w:left w:val="nil"/>
              <w:bottom w:val="nil"/>
              <w:right w:val="nil"/>
            </w:tcBorders>
            <w:shd w:val="clear" w:color="auto" w:fill="auto"/>
            <w:noWrap/>
            <w:vAlign w:val="center"/>
            <w:hideMark/>
          </w:tcPr>
          <w:p w14:paraId="2D6E95FE" w14:textId="77777777" w:rsidR="0025263D" w:rsidRPr="0025263D" w:rsidRDefault="0025263D" w:rsidP="0025263D">
            <w:pPr>
              <w:ind w:firstLineChars="100" w:firstLine="220"/>
              <w:rPr>
                <w:rFonts w:ascii="Calibri" w:hAnsi="Calibri" w:cs="Calibri"/>
                <w:color w:val="000000"/>
                <w:sz w:val="22"/>
                <w:szCs w:val="22"/>
              </w:rPr>
            </w:pPr>
          </w:p>
        </w:tc>
        <w:tc>
          <w:tcPr>
            <w:tcW w:w="1232" w:type="dxa"/>
            <w:tcBorders>
              <w:top w:val="nil"/>
              <w:left w:val="nil"/>
              <w:bottom w:val="nil"/>
              <w:right w:val="nil"/>
            </w:tcBorders>
            <w:shd w:val="clear" w:color="auto" w:fill="auto"/>
            <w:noWrap/>
            <w:vAlign w:val="center"/>
            <w:hideMark/>
          </w:tcPr>
          <w:p w14:paraId="067CECEC"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0199BD54" w14:textId="77777777" w:rsidR="0025263D" w:rsidRPr="0025263D" w:rsidRDefault="0025263D" w:rsidP="0025263D">
            <w:pPr>
              <w:rPr>
                <w:sz w:val="20"/>
                <w:szCs w:val="20"/>
              </w:rPr>
            </w:pPr>
          </w:p>
        </w:tc>
        <w:tc>
          <w:tcPr>
            <w:tcW w:w="1232" w:type="dxa"/>
            <w:tcBorders>
              <w:top w:val="nil"/>
              <w:left w:val="nil"/>
              <w:bottom w:val="nil"/>
              <w:right w:val="nil"/>
            </w:tcBorders>
            <w:shd w:val="clear" w:color="auto" w:fill="auto"/>
            <w:noWrap/>
            <w:vAlign w:val="center"/>
            <w:hideMark/>
          </w:tcPr>
          <w:p w14:paraId="0200FDB6"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7B11D973"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1.694</w:t>
            </w:r>
          </w:p>
        </w:tc>
        <w:tc>
          <w:tcPr>
            <w:tcW w:w="1232" w:type="dxa"/>
            <w:tcBorders>
              <w:top w:val="nil"/>
              <w:left w:val="nil"/>
              <w:bottom w:val="nil"/>
              <w:right w:val="nil"/>
            </w:tcBorders>
            <w:shd w:val="clear" w:color="auto" w:fill="auto"/>
            <w:noWrap/>
            <w:vAlign w:val="center"/>
            <w:hideMark/>
          </w:tcPr>
          <w:p w14:paraId="76D00E2A"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&lt;0.001</w:t>
            </w:r>
          </w:p>
        </w:tc>
      </w:tr>
      <w:tr w:rsidR="0025263D" w:rsidRPr="0025263D" w14:paraId="3B9C0EFC" w14:textId="77777777" w:rsidTr="00825765">
        <w:trPr>
          <w:trHeight w:val="431"/>
        </w:trPr>
        <w:tc>
          <w:tcPr>
            <w:tcW w:w="3362" w:type="dxa"/>
            <w:tcBorders>
              <w:top w:val="nil"/>
              <w:left w:val="nil"/>
              <w:bottom w:val="nil"/>
              <w:right w:val="nil"/>
            </w:tcBorders>
            <w:shd w:val="clear" w:color="auto" w:fill="auto"/>
            <w:noWrap/>
            <w:vAlign w:val="center"/>
            <w:hideMark/>
          </w:tcPr>
          <w:p w14:paraId="234185A2" w14:textId="77777777" w:rsidR="0025263D" w:rsidRPr="0025263D" w:rsidRDefault="0025263D" w:rsidP="0025263D">
            <w:pPr>
              <w:ind w:firstLineChars="100" w:firstLine="220"/>
              <w:rPr>
                <w:rFonts w:ascii="Calibri" w:hAnsi="Calibri" w:cs="Calibri"/>
                <w:color w:val="000000"/>
                <w:sz w:val="22"/>
                <w:szCs w:val="22"/>
              </w:rPr>
            </w:pPr>
            <w:r w:rsidRPr="0025263D">
              <w:rPr>
                <w:rFonts w:ascii="Calibri" w:hAnsi="Calibri" w:cs="Calibri"/>
                <w:color w:val="000000"/>
                <w:sz w:val="22"/>
                <w:szCs w:val="22"/>
              </w:rPr>
              <w:t>36-55 vs 56+</w:t>
            </w:r>
          </w:p>
        </w:tc>
        <w:tc>
          <w:tcPr>
            <w:tcW w:w="1231" w:type="dxa"/>
            <w:tcBorders>
              <w:top w:val="nil"/>
              <w:left w:val="nil"/>
              <w:bottom w:val="nil"/>
              <w:right w:val="nil"/>
            </w:tcBorders>
            <w:shd w:val="clear" w:color="auto" w:fill="auto"/>
            <w:noWrap/>
            <w:vAlign w:val="center"/>
            <w:hideMark/>
          </w:tcPr>
          <w:p w14:paraId="23B06B2D" w14:textId="77777777" w:rsidR="0025263D" w:rsidRPr="0025263D" w:rsidRDefault="0025263D" w:rsidP="0025263D">
            <w:pPr>
              <w:ind w:firstLineChars="100" w:firstLine="220"/>
              <w:rPr>
                <w:rFonts w:ascii="Calibri" w:hAnsi="Calibri" w:cs="Calibri"/>
                <w:color w:val="000000"/>
                <w:sz w:val="22"/>
                <w:szCs w:val="22"/>
              </w:rPr>
            </w:pPr>
          </w:p>
        </w:tc>
        <w:tc>
          <w:tcPr>
            <w:tcW w:w="1232" w:type="dxa"/>
            <w:tcBorders>
              <w:top w:val="nil"/>
              <w:left w:val="nil"/>
              <w:bottom w:val="nil"/>
              <w:right w:val="nil"/>
            </w:tcBorders>
            <w:shd w:val="clear" w:color="auto" w:fill="auto"/>
            <w:noWrap/>
            <w:vAlign w:val="center"/>
            <w:hideMark/>
          </w:tcPr>
          <w:p w14:paraId="420C5039"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6D6E815B" w14:textId="77777777" w:rsidR="0025263D" w:rsidRPr="0025263D" w:rsidRDefault="0025263D" w:rsidP="0025263D">
            <w:pPr>
              <w:rPr>
                <w:sz w:val="20"/>
                <w:szCs w:val="20"/>
              </w:rPr>
            </w:pPr>
          </w:p>
        </w:tc>
        <w:tc>
          <w:tcPr>
            <w:tcW w:w="1232" w:type="dxa"/>
            <w:tcBorders>
              <w:top w:val="nil"/>
              <w:left w:val="nil"/>
              <w:bottom w:val="nil"/>
              <w:right w:val="nil"/>
            </w:tcBorders>
            <w:shd w:val="clear" w:color="auto" w:fill="auto"/>
            <w:noWrap/>
            <w:vAlign w:val="center"/>
            <w:hideMark/>
          </w:tcPr>
          <w:p w14:paraId="43657A6B"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2716262D"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1.438</w:t>
            </w:r>
          </w:p>
        </w:tc>
        <w:tc>
          <w:tcPr>
            <w:tcW w:w="1232" w:type="dxa"/>
            <w:tcBorders>
              <w:top w:val="nil"/>
              <w:left w:val="nil"/>
              <w:bottom w:val="nil"/>
              <w:right w:val="nil"/>
            </w:tcBorders>
            <w:shd w:val="clear" w:color="auto" w:fill="auto"/>
            <w:noWrap/>
            <w:vAlign w:val="center"/>
            <w:hideMark/>
          </w:tcPr>
          <w:p w14:paraId="17C354E2" w14:textId="77777777" w:rsidR="0025263D" w:rsidRPr="0025263D" w:rsidRDefault="0025263D" w:rsidP="0025263D">
            <w:pPr>
              <w:jc w:val="right"/>
              <w:rPr>
                <w:rFonts w:ascii="Calibri" w:hAnsi="Calibri" w:cs="Calibri"/>
                <w:b/>
                <w:bCs/>
                <w:color w:val="000000"/>
                <w:sz w:val="22"/>
                <w:szCs w:val="22"/>
              </w:rPr>
            </w:pPr>
            <w:r w:rsidRPr="0025263D">
              <w:rPr>
                <w:rFonts w:ascii="Calibri" w:hAnsi="Calibri" w:cs="Calibri"/>
                <w:b/>
                <w:bCs/>
                <w:color w:val="000000"/>
                <w:sz w:val="22"/>
                <w:szCs w:val="22"/>
              </w:rPr>
              <w:t>0.005</w:t>
            </w:r>
          </w:p>
        </w:tc>
      </w:tr>
      <w:tr w:rsidR="0025263D" w:rsidRPr="0025263D" w14:paraId="78F83270" w14:textId="77777777" w:rsidTr="00825765">
        <w:trPr>
          <w:trHeight w:val="431"/>
        </w:trPr>
        <w:tc>
          <w:tcPr>
            <w:tcW w:w="3362" w:type="dxa"/>
            <w:tcBorders>
              <w:top w:val="nil"/>
              <w:left w:val="nil"/>
              <w:bottom w:val="nil"/>
              <w:right w:val="nil"/>
            </w:tcBorders>
            <w:shd w:val="clear" w:color="auto" w:fill="auto"/>
            <w:noWrap/>
            <w:vAlign w:val="center"/>
            <w:hideMark/>
          </w:tcPr>
          <w:p w14:paraId="6CF7ABD1" w14:textId="77777777" w:rsidR="0025263D" w:rsidRPr="0025263D" w:rsidRDefault="0025263D" w:rsidP="0025263D">
            <w:pPr>
              <w:rPr>
                <w:rFonts w:ascii="Calibri" w:hAnsi="Calibri" w:cs="Calibri"/>
                <w:color w:val="000000"/>
                <w:sz w:val="22"/>
                <w:szCs w:val="22"/>
              </w:rPr>
            </w:pPr>
            <w:r w:rsidRPr="0025263D">
              <w:rPr>
                <w:rFonts w:ascii="Calibri" w:hAnsi="Calibri" w:cs="Calibri"/>
                <w:color w:val="000000"/>
                <w:sz w:val="22"/>
                <w:szCs w:val="22"/>
              </w:rPr>
              <w:t>Gender</w:t>
            </w:r>
          </w:p>
        </w:tc>
        <w:tc>
          <w:tcPr>
            <w:tcW w:w="1231" w:type="dxa"/>
            <w:tcBorders>
              <w:top w:val="nil"/>
              <w:left w:val="nil"/>
              <w:bottom w:val="nil"/>
              <w:right w:val="nil"/>
            </w:tcBorders>
            <w:shd w:val="clear" w:color="auto" w:fill="auto"/>
            <w:noWrap/>
            <w:vAlign w:val="center"/>
            <w:hideMark/>
          </w:tcPr>
          <w:p w14:paraId="74875BB2" w14:textId="77777777" w:rsidR="0025263D" w:rsidRPr="0025263D" w:rsidRDefault="0025263D" w:rsidP="0025263D">
            <w:pPr>
              <w:rPr>
                <w:rFonts w:ascii="Calibri" w:hAnsi="Calibri" w:cs="Calibri"/>
                <w:color w:val="000000"/>
                <w:sz w:val="22"/>
                <w:szCs w:val="22"/>
              </w:rPr>
            </w:pPr>
          </w:p>
        </w:tc>
        <w:tc>
          <w:tcPr>
            <w:tcW w:w="1232" w:type="dxa"/>
            <w:tcBorders>
              <w:top w:val="nil"/>
              <w:left w:val="nil"/>
              <w:bottom w:val="nil"/>
              <w:right w:val="nil"/>
            </w:tcBorders>
            <w:shd w:val="clear" w:color="auto" w:fill="auto"/>
            <w:noWrap/>
            <w:vAlign w:val="center"/>
            <w:hideMark/>
          </w:tcPr>
          <w:p w14:paraId="07D5B5BA"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2CA95000" w14:textId="77777777" w:rsidR="0025263D" w:rsidRPr="0025263D" w:rsidRDefault="0025263D" w:rsidP="0025263D">
            <w:pPr>
              <w:rPr>
                <w:sz w:val="20"/>
                <w:szCs w:val="20"/>
              </w:rPr>
            </w:pPr>
          </w:p>
        </w:tc>
        <w:tc>
          <w:tcPr>
            <w:tcW w:w="1232" w:type="dxa"/>
            <w:tcBorders>
              <w:top w:val="nil"/>
              <w:left w:val="nil"/>
              <w:bottom w:val="nil"/>
              <w:right w:val="nil"/>
            </w:tcBorders>
            <w:shd w:val="clear" w:color="auto" w:fill="auto"/>
            <w:noWrap/>
            <w:vAlign w:val="center"/>
            <w:hideMark/>
          </w:tcPr>
          <w:p w14:paraId="766EE903"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17EE1034" w14:textId="77777777" w:rsidR="0025263D" w:rsidRPr="0025263D" w:rsidRDefault="0025263D" w:rsidP="0025263D">
            <w:pPr>
              <w:rPr>
                <w:sz w:val="20"/>
                <w:szCs w:val="20"/>
              </w:rPr>
            </w:pPr>
          </w:p>
        </w:tc>
        <w:tc>
          <w:tcPr>
            <w:tcW w:w="1232" w:type="dxa"/>
            <w:tcBorders>
              <w:top w:val="nil"/>
              <w:left w:val="nil"/>
              <w:bottom w:val="nil"/>
              <w:right w:val="nil"/>
            </w:tcBorders>
            <w:shd w:val="clear" w:color="auto" w:fill="auto"/>
            <w:noWrap/>
            <w:vAlign w:val="center"/>
            <w:hideMark/>
          </w:tcPr>
          <w:p w14:paraId="22F054F6"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0.118</w:t>
            </w:r>
          </w:p>
        </w:tc>
      </w:tr>
      <w:tr w:rsidR="0025263D" w:rsidRPr="0025263D" w14:paraId="4D297290" w14:textId="77777777" w:rsidTr="00825765">
        <w:trPr>
          <w:trHeight w:val="431"/>
        </w:trPr>
        <w:tc>
          <w:tcPr>
            <w:tcW w:w="3362" w:type="dxa"/>
            <w:tcBorders>
              <w:top w:val="nil"/>
              <w:left w:val="nil"/>
              <w:bottom w:val="nil"/>
              <w:right w:val="nil"/>
            </w:tcBorders>
            <w:shd w:val="clear" w:color="auto" w:fill="auto"/>
            <w:noWrap/>
            <w:vAlign w:val="center"/>
            <w:hideMark/>
          </w:tcPr>
          <w:p w14:paraId="64B3E10E" w14:textId="77777777" w:rsidR="0025263D" w:rsidRPr="0025263D" w:rsidRDefault="0025263D" w:rsidP="0025263D">
            <w:pPr>
              <w:ind w:firstLineChars="100" w:firstLine="220"/>
              <w:rPr>
                <w:rFonts w:ascii="Calibri" w:hAnsi="Calibri" w:cs="Calibri"/>
                <w:color w:val="000000"/>
                <w:sz w:val="22"/>
                <w:szCs w:val="22"/>
              </w:rPr>
            </w:pPr>
            <w:r w:rsidRPr="0025263D">
              <w:rPr>
                <w:rFonts w:ascii="Calibri" w:hAnsi="Calibri" w:cs="Calibri"/>
                <w:color w:val="000000"/>
                <w:sz w:val="22"/>
                <w:szCs w:val="22"/>
              </w:rPr>
              <w:t>Male vs female</w:t>
            </w:r>
          </w:p>
        </w:tc>
        <w:tc>
          <w:tcPr>
            <w:tcW w:w="1231" w:type="dxa"/>
            <w:tcBorders>
              <w:top w:val="nil"/>
              <w:left w:val="nil"/>
              <w:bottom w:val="nil"/>
              <w:right w:val="nil"/>
            </w:tcBorders>
            <w:shd w:val="clear" w:color="auto" w:fill="auto"/>
            <w:noWrap/>
            <w:vAlign w:val="center"/>
            <w:hideMark/>
          </w:tcPr>
          <w:p w14:paraId="63CDC55A" w14:textId="77777777" w:rsidR="0025263D" w:rsidRPr="0025263D" w:rsidRDefault="0025263D" w:rsidP="0025263D">
            <w:pPr>
              <w:ind w:firstLineChars="100" w:firstLine="220"/>
              <w:rPr>
                <w:rFonts w:ascii="Calibri" w:hAnsi="Calibri" w:cs="Calibri"/>
                <w:color w:val="000000"/>
                <w:sz w:val="22"/>
                <w:szCs w:val="22"/>
              </w:rPr>
            </w:pPr>
          </w:p>
        </w:tc>
        <w:tc>
          <w:tcPr>
            <w:tcW w:w="1232" w:type="dxa"/>
            <w:tcBorders>
              <w:top w:val="nil"/>
              <w:left w:val="nil"/>
              <w:bottom w:val="nil"/>
              <w:right w:val="nil"/>
            </w:tcBorders>
            <w:shd w:val="clear" w:color="auto" w:fill="auto"/>
            <w:noWrap/>
            <w:vAlign w:val="center"/>
            <w:hideMark/>
          </w:tcPr>
          <w:p w14:paraId="681903C8"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22B2F3B0" w14:textId="77777777" w:rsidR="0025263D" w:rsidRPr="0025263D" w:rsidRDefault="0025263D" w:rsidP="0025263D">
            <w:pPr>
              <w:rPr>
                <w:sz w:val="20"/>
                <w:szCs w:val="20"/>
              </w:rPr>
            </w:pPr>
          </w:p>
        </w:tc>
        <w:tc>
          <w:tcPr>
            <w:tcW w:w="1232" w:type="dxa"/>
            <w:tcBorders>
              <w:top w:val="nil"/>
              <w:left w:val="nil"/>
              <w:bottom w:val="nil"/>
              <w:right w:val="nil"/>
            </w:tcBorders>
            <w:shd w:val="clear" w:color="auto" w:fill="auto"/>
            <w:noWrap/>
            <w:vAlign w:val="center"/>
            <w:hideMark/>
          </w:tcPr>
          <w:p w14:paraId="463B6D38" w14:textId="77777777" w:rsidR="0025263D" w:rsidRPr="0025263D" w:rsidRDefault="0025263D" w:rsidP="0025263D">
            <w:pPr>
              <w:rPr>
                <w:sz w:val="20"/>
                <w:szCs w:val="20"/>
              </w:rPr>
            </w:pPr>
          </w:p>
        </w:tc>
        <w:tc>
          <w:tcPr>
            <w:tcW w:w="1231" w:type="dxa"/>
            <w:tcBorders>
              <w:top w:val="nil"/>
              <w:left w:val="nil"/>
              <w:bottom w:val="nil"/>
              <w:right w:val="nil"/>
            </w:tcBorders>
            <w:shd w:val="clear" w:color="auto" w:fill="auto"/>
            <w:noWrap/>
            <w:vAlign w:val="center"/>
            <w:hideMark/>
          </w:tcPr>
          <w:p w14:paraId="70D9E5B7"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0.805</w:t>
            </w:r>
          </w:p>
        </w:tc>
        <w:tc>
          <w:tcPr>
            <w:tcW w:w="1232" w:type="dxa"/>
            <w:tcBorders>
              <w:top w:val="nil"/>
              <w:left w:val="nil"/>
              <w:bottom w:val="nil"/>
              <w:right w:val="nil"/>
            </w:tcBorders>
            <w:shd w:val="clear" w:color="auto" w:fill="auto"/>
            <w:noWrap/>
            <w:vAlign w:val="center"/>
            <w:hideMark/>
          </w:tcPr>
          <w:p w14:paraId="724E9EA7"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0.082</w:t>
            </w:r>
          </w:p>
        </w:tc>
      </w:tr>
      <w:tr w:rsidR="0025263D" w:rsidRPr="0025263D" w14:paraId="4A1F4A4E" w14:textId="77777777" w:rsidTr="00825765">
        <w:trPr>
          <w:trHeight w:val="431"/>
        </w:trPr>
        <w:tc>
          <w:tcPr>
            <w:tcW w:w="3362" w:type="dxa"/>
            <w:tcBorders>
              <w:top w:val="nil"/>
              <w:left w:val="nil"/>
              <w:right w:val="nil"/>
            </w:tcBorders>
            <w:shd w:val="clear" w:color="auto" w:fill="auto"/>
            <w:noWrap/>
            <w:vAlign w:val="center"/>
            <w:hideMark/>
          </w:tcPr>
          <w:p w14:paraId="4A1CEEEE" w14:textId="77777777" w:rsidR="0025263D" w:rsidRPr="0025263D" w:rsidRDefault="0025263D" w:rsidP="0025263D">
            <w:pPr>
              <w:ind w:firstLineChars="100" w:firstLine="220"/>
              <w:rPr>
                <w:rFonts w:ascii="Calibri" w:hAnsi="Calibri" w:cs="Calibri"/>
                <w:color w:val="000000"/>
                <w:sz w:val="22"/>
                <w:szCs w:val="22"/>
              </w:rPr>
            </w:pPr>
            <w:r w:rsidRPr="0025263D">
              <w:rPr>
                <w:rFonts w:ascii="Calibri" w:hAnsi="Calibri" w:cs="Calibri"/>
                <w:color w:val="000000"/>
                <w:sz w:val="22"/>
                <w:szCs w:val="22"/>
              </w:rPr>
              <w:t>Other vs female</w:t>
            </w:r>
          </w:p>
        </w:tc>
        <w:tc>
          <w:tcPr>
            <w:tcW w:w="1231" w:type="dxa"/>
            <w:tcBorders>
              <w:top w:val="nil"/>
              <w:left w:val="nil"/>
              <w:right w:val="nil"/>
            </w:tcBorders>
            <w:shd w:val="clear" w:color="auto" w:fill="auto"/>
            <w:noWrap/>
            <w:vAlign w:val="center"/>
            <w:hideMark/>
          </w:tcPr>
          <w:p w14:paraId="5306FA86" w14:textId="77777777" w:rsidR="0025263D" w:rsidRPr="0025263D" w:rsidRDefault="0025263D" w:rsidP="0025263D">
            <w:pPr>
              <w:ind w:firstLineChars="100" w:firstLine="220"/>
              <w:rPr>
                <w:rFonts w:ascii="Calibri" w:hAnsi="Calibri" w:cs="Calibri"/>
                <w:color w:val="000000"/>
                <w:sz w:val="22"/>
                <w:szCs w:val="22"/>
              </w:rPr>
            </w:pPr>
          </w:p>
        </w:tc>
        <w:tc>
          <w:tcPr>
            <w:tcW w:w="1232" w:type="dxa"/>
            <w:tcBorders>
              <w:top w:val="nil"/>
              <w:left w:val="nil"/>
              <w:right w:val="nil"/>
            </w:tcBorders>
            <w:shd w:val="clear" w:color="auto" w:fill="auto"/>
            <w:noWrap/>
            <w:vAlign w:val="center"/>
            <w:hideMark/>
          </w:tcPr>
          <w:p w14:paraId="4DC5CD42" w14:textId="77777777" w:rsidR="0025263D" w:rsidRPr="0025263D" w:rsidRDefault="0025263D" w:rsidP="0025263D">
            <w:pPr>
              <w:rPr>
                <w:sz w:val="20"/>
                <w:szCs w:val="20"/>
              </w:rPr>
            </w:pPr>
          </w:p>
        </w:tc>
        <w:tc>
          <w:tcPr>
            <w:tcW w:w="1231" w:type="dxa"/>
            <w:tcBorders>
              <w:top w:val="nil"/>
              <w:left w:val="nil"/>
              <w:right w:val="nil"/>
            </w:tcBorders>
            <w:shd w:val="clear" w:color="auto" w:fill="auto"/>
            <w:noWrap/>
            <w:vAlign w:val="center"/>
            <w:hideMark/>
          </w:tcPr>
          <w:p w14:paraId="38602A01" w14:textId="77777777" w:rsidR="0025263D" w:rsidRPr="0025263D" w:rsidRDefault="0025263D" w:rsidP="0025263D">
            <w:pPr>
              <w:rPr>
                <w:sz w:val="20"/>
                <w:szCs w:val="20"/>
              </w:rPr>
            </w:pPr>
          </w:p>
        </w:tc>
        <w:tc>
          <w:tcPr>
            <w:tcW w:w="1232" w:type="dxa"/>
            <w:tcBorders>
              <w:top w:val="nil"/>
              <w:left w:val="nil"/>
              <w:right w:val="nil"/>
            </w:tcBorders>
            <w:shd w:val="clear" w:color="auto" w:fill="auto"/>
            <w:noWrap/>
            <w:vAlign w:val="center"/>
            <w:hideMark/>
          </w:tcPr>
          <w:p w14:paraId="5C3837B6" w14:textId="77777777" w:rsidR="0025263D" w:rsidRPr="0025263D" w:rsidRDefault="0025263D" w:rsidP="0025263D">
            <w:pPr>
              <w:rPr>
                <w:sz w:val="20"/>
                <w:szCs w:val="20"/>
              </w:rPr>
            </w:pPr>
          </w:p>
        </w:tc>
        <w:tc>
          <w:tcPr>
            <w:tcW w:w="1231" w:type="dxa"/>
            <w:tcBorders>
              <w:top w:val="nil"/>
              <w:left w:val="nil"/>
              <w:right w:val="nil"/>
            </w:tcBorders>
            <w:shd w:val="clear" w:color="auto" w:fill="auto"/>
            <w:noWrap/>
            <w:vAlign w:val="center"/>
            <w:hideMark/>
          </w:tcPr>
          <w:p w14:paraId="73BE28AA"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1.428</w:t>
            </w:r>
          </w:p>
        </w:tc>
        <w:tc>
          <w:tcPr>
            <w:tcW w:w="1232" w:type="dxa"/>
            <w:tcBorders>
              <w:top w:val="nil"/>
              <w:left w:val="nil"/>
              <w:right w:val="nil"/>
            </w:tcBorders>
            <w:shd w:val="clear" w:color="auto" w:fill="auto"/>
            <w:noWrap/>
            <w:vAlign w:val="center"/>
            <w:hideMark/>
          </w:tcPr>
          <w:p w14:paraId="612B0302"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0.305</w:t>
            </w:r>
          </w:p>
        </w:tc>
      </w:tr>
      <w:tr w:rsidR="0025263D" w:rsidRPr="0025263D" w14:paraId="0F08BE74" w14:textId="77777777" w:rsidTr="00825765">
        <w:trPr>
          <w:trHeight w:val="431"/>
        </w:trPr>
        <w:tc>
          <w:tcPr>
            <w:tcW w:w="3362" w:type="dxa"/>
            <w:tcBorders>
              <w:top w:val="nil"/>
              <w:left w:val="nil"/>
              <w:bottom w:val="single" w:sz="4" w:space="0" w:color="auto"/>
              <w:right w:val="nil"/>
            </w:tcBorders>
            <w:shd w:val="clear" w:color="auto" w:fill="auto"/>
            <w:noWrap/>
            <w:vAlign w:val="center"/>
            <w:hideMark/>
          </w:tcPr>
          <w:p w14:paraId="2D725F5D" w14:textId="77777777" w:rsidR="0025263D" w:rsidRPr="0025263D" w:rsidRDefault="0025263D" w:rsidP="0025263D">
            <w:pPr>
              <w:rPr>
                <w:rFonts w:ascii="Calibri" w:hAnsi="Calibri" w:cs="Calibri"/>
                <w:i/>
                <w:color w:val="000000"/>
                <w:sz w:val="22"/>
                <w:szCs w:val="22"/>
              </w:rPr>
            </w:pPr>
            <w:r w:rsidRPr="0025263D">
              <w:rPr>
                <w:rFonts w:ascii="Calibri" w:hAnsi="Calibri" w:cs="Calibri"/>
                <w:i/>
                <w:color w:val="000000"/>
                <w:sz w:val="22"/>
                <w:szCs w:val="22"/>
              </w:rPr>
              <w:t>Constant</w:t>
            </w:r>
          </w:p>
        </w:tc>
        <w:tc>
          <w:tcPr>
            <w:tcW w:w="1231" w:type="dxa"/>
            <w:tcBorders>
              <w:top w:val="nil"/>
              <w:left w:val="nil"/>
              <w:bottom w:val="single" w:sz="4" w:space="0" w:color="auto"/>
              <w:right w:val="nil"/>
            </w:tcBorders>
            <w:shd w:val="clear" w:color="auto" w:fill="auto"/>
            <w:noWrap/>
            <w:vAlign w:val="center"/>
            <w:hideMark/>
          </w:tcPr>
          <w:p w14:paraId="17C14223"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0.606</w:t>
            </w:r>
          </w:p>
        </w:tc>
        <w:tc>
          <w:tcPr>
            <w:tcW w:w="1232" w:type="dxa"/>
            <w:tcBorders>
              <w:top w:val="nil"/>
              <w:left w:val="nil"/>
              <w:bottom w:val="single" w:sz="4" w:space="0" w:color="auto"/>
              <w:right w:val="nil"/>
            </w:tcBorders>
            <w:shd w:val="clear" w:color="auto" w:fill="auto"/>
            <w:noWrap/>
            <w:vAlign w:val="center"/>
            <w:hideMark/>
          </w:tcPr>
          <w:p w14:paraId="6C12F9E6"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&lt;0.001</w:t>
            </w:r>
          </w:p>
        </w:tc>
        <w:tc>
          <w:tcPr>
            <w:tcW w:w="1231" w:type="dxa"/>
            <w:tcBorders>
              <w:top w:val="nil"/>
              <w:left w:val="nil"/>
              <w:bottom w:val="single" w:sz="4" w:space="0" w:color="auto"/>
              <w:right w:val="nil"/>
            </w:tcBorders>
            <w:shd w:val="clear" w:color="auto" w:fill="auto"/>
            <w:noWrap/>
            <w:vAlign w:val="center"/>
            <w:hideMark/>
          </w:tcPr>
          <w:p w14:paraId="2F09EDCF"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0.158</w:t>
            </w:r>
          </w:p>
        </w:tc>
        <w:tc>
          <w:tcPr>
            <w:tcW w:w="1232" w:type="dxa"/>
            <w:tcBorders>
              <w:top w:val="nil"/>
              <w:left w:val="nil"/>
              <w:bottom w:val="single" w:sz="4" w:space="0" w:color="auto"/>
              <w:right w:val="nil"/>
            </w:tcBorders>
            <w:shd w:val="clear" w:color="auto" w:fill="auto"/>
            <w:noWrap/>
            <w:vAlign w:val="center"/>
            <w:hideMark/>
          </w:tcPr>
          <w:p w14:paraId="2AF4DE6A"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&lt;0.001</w:t>
            </w:r>
          </w:p>
        </w:tc>
        <w:tc>
          <w:tcPr>
            <w:tcW w:w="1231" w:type="dxa"/>
            <w:tcBorders>
              <w:top w:val="nil"/>
              <w:left w:val="nil"/>
              <w:bottom w:val="single" w:sz="4" w:space="0" w:color="auto"/>
              <w:right w:val="nil"/>
            </w:tcBorders>
            <w:shd w:val="clear" w:color="auto" w:fill="auto"/>
            <w:noWrap/>
            <w:vAlign w:val="center"/>
            <w:hideMark/>
          </w:tcPr>
          <w:p w14:paraId="0F05558A"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0.120</w:t>
            </w:r>
          </w:p>
        </w:tc>
        <w:tc>
          <w:tcPr>
            <w:tcW w:w="1232" w:type="dxa"/>
            <w:tcBorders>
              <w:top w:val="nil"/>
              <w:left w:val="nil"/>
              <w:bottom w:val="single" w:sz="4" w:space="0" w:color="auto"/>
              <w:right w:val="nil"/>
            </w:tcBorders>
            <w:shd w:val="clear" w:color="auto" w:fill="auto"/>
            <w:noWrap/>
            <w:vAlign w:val="center"/>
            <w:hideMark/>
          </w:tcPr>
          <w:p w14:paraId="5AAF381E" w14:textId="77777777" w:rsidR="0025263D" w:rsidRPr="0025263D" w:rsidRDefault="0025263D" w:rsidP="0025263D">
            <w:pPr>
              <w:jc w:val="right"/>
              <w:rPr>
                <w:rFonts w:ascii="Calibri" w:hAnsi="Calibri" w:cs="Calibri"/>
                <w:color w:val="000000"/>
                <w:sz w:val="22"/>
                <w:szCs w:val="22"/>
              </w:rPr>
            </w:pPr>
            <w:r w:rsidRPr="0025263D">
              <w:rPr>
                <w:rFonts w:ascii="Calibri" w:hAnsi="Calibri" w:cs="Calibri"/>
                <w:color w:val="000000"/>
                <w:sz w:val="22"/>
                <w:szCs w:val="22"/>
              </w:rPr>
              <w:t>&lt;0.001</w:t>
            </w:r>
          </w:p>
        </w:tc>
      </w:tr>
    </w:tbl>
    <w:p w14:paraId="5D7F1CAA" w14:textId="77777777" w:rsidR="0025263D" w:rsidRDefault="0025263D"/>
    <w:p w14:paraId="707B8C42" w14:textId="40B84B3D" w:rsidR="00FF4BF7" w:rsidRPr="00FF4BF7" w:rsidRDefault="00FF4BF7">
      <w:pPr>
        <w:rPr>
          <w:sz w:val="20"/>
        </w:rPr>
      </w:pPr>
      <w:r w:rsidRPr="00FF4BF7">
        <w:rPr>
          <w:i/>
          <w:sz w:val="20"/>
        </w:rPr>
        <w:t>Notes</w:t>
      </w:r>
      <w:r w:rsidRPr="00FF4BF7">
        <w:rPr>
          <w:sz w:val="20"/>
        </w:rPr>
        <w:t>: One participant did not provide their age group</w:t>
      </w:r>
      <w:r w:rsidR="00825765">
        <w:rPr>
          <w:sz w:val="20"/>
        </w:rPr>
        <w:t xml:space="preserve"> and was excluded from the analysis</w:t>
      </w:r>
      <w:r w:rsidRPr="00FF4BF7">
        <w:rPr>
          <w:sz w:val="20"/>
        </w:rPr>
        <w:t xml:space="preserve">; </w:t>
      </w:r>
      <w:r w:rsidRPr="00FF4BF7">
        <w:rPr>
          <w:b/>
          <w:sz w:val="20"/>
        </w:rPr>
        <w:t>bold</w:t>
      </w:r>
      <w:r w:rsidRPr="00FF4BF7">
        <w:rPr>
          <w:sz w:val="20"/>
        </w:rPr>
        <w:t xml:space="preserve"> values indicate </w:t>
      </w:r>
      <w:r w:rsidRPr="00FF4BF7">
        <w:rPr>
          <w:i/>
          <w:sz w:val="20"/>
        </w:rPr>
        <w:t>p</w:t>
      </w:r>
      <w:r w:rsidRPr="00FF4BF7">
        <w:rPr>
          <w:sz w:val="20"/>
        </w:rPr>
        <w:t xml:space="preserve">&lt;0.05; </w:t>
      </w:r>
      <w:r>
        <w:rPr>
          <w:sz w:val="20"/>
        </w:rPr>
        <w:t>SOSS = Stigma of Suicide Scale (stigma subscale); DQ5 = Distress Questionnaire-5</w:t>
      </w:r>
    </w:p>
    <w:sectPr w:rsidR="00FF4BF7" w:rsidRPr="00FF4BF7" w:rsidSect="007E656A">
      <w:pgSz w:w="16838" w:h="11906" w:orient="landscape"/>
      <w:pgMar w:top="1134" w:right="1134" w:bottom="1134"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78A4FFD" w16cid:durableId="20F6AECF"/>
  <w16cid:commentId w16cid:paraId="78C0573F" w16cid:durableId="20F6AED1"/>
  <w16cid:commentId w16cid:paraId="05DFFF48" w16cid:durableId="20F6AED2"/>
  <w16cid:commentId w16cid:paraId="7D511623" w16cid:durableId="20F6AED3"/>
  <w16cid:commentId w16cid:paraId="2ACB4AA1" w16cid:durableId="20F6AED4"/>
  <w16cid:commentId w16cid:paraId="53FADD86" w16cid:durableId="20F6AED5"/>
  <w16cid:commentId w16cid:paraId="5A11521E" w16cid:durableId="20F6AED6"/>
  <w16cid:commentId w16cid:paraId="34362C7C" w16cid:durableId="20F6AED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0CFB30" w14:textId="77777777" w:rsidR="006F272E" w:rsidRDefault="006F272E" w:rsidP="00FF4BF7">
      <w:r>
        <w:separator/>
      </w:r>
    </w:p>
  </w:endnote>
  <w:endnote w:type="continuationSeparator" w:id="0">
    <w:p w14:paraId="123393F1" w14:textId="77777777" w:rsidR="006F272E" w:rsidRDefault="006F272E" w:rsidP="00FF4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2334819"/>
      <w:docPartObj>
        <w:docPartGallery w:val="Page Numbers (Bottom of Page)"/>
        <w:docPartUnique/>
      </w:docPartObj>
    </w:sdtPr>
    <w:sdtEndPr>
      <w:rPr>
        <w:noProof/>
      </w:rPr>
    </w:sdtEndPr>
    <w:sdtContent>
      <w:p w14:paraId="447F259B" w14:textId="6EADB1C5" w:rsidR="006F272E" w:rsidRDefault="006F272E">
        <w:pPr>
          <w:pStyle w:val="Footer"/>
          <w:jc w:val="right"/>
        </w:pPr>
        <w:r>
          <w:fldChar w:fldCharType="begin"/>
        </w:r>
        <w:r>
          <w:instrText xml:space="preserve"> PAGE   \* MERGEFORMAT </w:instrText>
        </w:r>
        <w:r>
          <w:fldChar w:fldCharType="separate"/>
        </w:r>
        <w:r w:rsidR="00F77092">
          <w:rPr>
            <w:noProof/>
          </w:rPr>
          <w:t>2</w:t>
        </w:r>
        <w:r>
          <w:rPr>
            <w:noProof/>
          </w:rPr>
          <w:fldChar w:fldCharType="end"/>
        </w:r>
      </w:p>
    </w:sdtContent>
  </w:sdt>
  <w:p w14:paraId="5CD27C61" w14:textId="77777777" w:rsidR="006F272E" w:rsidRDefault="006F27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E3CD45" w14:textId="77777777" w:rsidR="006F272E" w:rsidRDefault="006F272E" w:rsidP="00FF4BF7">
      <w:r>
        <w:separator/>
      </w:r>
    </w:p>
  </w:footnote>
  <w:footnote w:type="continuationSeparator" w:id="0">
    <w:p w14:paraId="767CFB23" w14:textId="77777777" w:rsidR="006F272E" w:rsidRDefault="006F272E" w:rsidP="00FF4B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rvp0dvwpadt0d3exvpn5rrfq5sdt0aawe595&quot;&gt;rural&lt;record-ids&gt;&lt;item&gt;1&lt;/item&gt;&lt;item&gt;2&lt;/item&gt;&lt;item&gt;3&lt;/item&gt;&lt;item&gt;4&lt;/item&gt;&lt;item&gt;5&lt;/item&gt;&lt;item&gt;6&lt;/item&gt;&lt;item&gt;7&lt;/item&gt;&lt;item&gt;8&lt;/item&gt;&lt;item&gt;9&lt;/item&gt;&lt;item&gt;11&lt;/item&gt;&lt;item&gt;12&lt;/item&gt;&lt;item&gt;13&lt;/item&gt;&lt;item&gt;14&lt;/item&gt;&lt;item&gt;16&lt;/item&gt;&lt;item&gt;17&lt;/item&gt;&lt;item&gt;19&lt;/item&gt;&lt;item&gt;21&lt;/item&gt;&lt;item&gt;22&lt;/item&gt;&lt;item&gt;23&lt;/item&gt;&lt;item&gt;24&lt;/item&gt;&lt;item&gt;25&lt;/item&gt;&lt;item&gt;27&lt;/item&gt;&lt;item&gt;39&lt;/item&gt;&lt;item&gt;46&lt;/item&gt;&lt;item&gt;47&lt;/item&gt;&lt;item&gt;49&lt;/item&gt;&lt;item&gt;50&lt;/item&gt;&lt;item&gt;51&lt;/item&gt;&lt;item&gt;53&lt;/item&gt;&lt;item&gt;54&lt;/item&gt;&lt;item&gt;56&lt;/item&gt;&lt;item&gt;58&lt;/item&gt;&lt;item&gt;61&lt;/item&gt;&lt;item&gt;62&lt;/item&gt;&lt;item&gt;63&lt;/item&gt;&lt;item&gt;64&lt;/item&gt;&lt;item&gt;65&lt;/item&gt;&lt;item&gt;66&lt;/item&gt;&lt;item&gt;67&lt;/item&gt;&lt;item&gt;68&lt;/item&gt;&lt;/record-ids&gt;&lt;/item&gt;&lt;/Libraries&gt;"/>
  </w:docVars>
  <w:rsids>
    <w:rsidRoot w:val="00F24570"/>
    <w:rsid w:val="000401B4"/>
    <w:rsid w:val="00046997"/>
    <w:rsid w:val="000763B1"/>
    <w:rsid w:val="000A3911"/>
    <w:rsid w:val="000C792B"/>
    <w:rsid w:val="000E4803"/>
    <w:rsid w:val="0010454D"/>
    <w:rsid w:val="00143B57"/>
    <w:rsid w:val="00155994"/>
    <w:rsid w:val="00164930"/>
    <w:rsid w:val="0017575A"/>
    <w:rsid w:val="001856A3"/>
    <w:rsid w:val="001C284F"/>
    <w:rsid w:val="001C4296"/>
    <w:rsid w:val="001E69D1"/>
    <w:rsid w:val="002347D1"/>
    <w:rsid w:val="00237059"/>
    <w:rsid w:val="0025263D"/>
    <w:rsid w:val="00270FA2"/>
    <w:rsid w:val="00277610"/>
    <w:rsid w:val="00286932"/>
    <w:rsid w:val="00296ACB"/>
    <w:rsid w:val="00297462"/>
    <w:rsid w:val="002B6E1C"/>
    <w:rsid w:val="002C33ED"/>
    <w:rsid w:val="002D54DC"/>
    <w:rsid w:val="002F67E7"/>
    <w:rsid w:val="00311124"/>
    <w:rsid w:val="00325C13"/>
    <w:rsid w:val="003302E7"/>
    <w:rsid w:val="00341A90"/>
    <w:rsid w:val="00344CE9"/>
    <w:rsid w:val="003531B9"/>
    <w:rsid w:val="0036584F"/>
    <w:rsid w:val="003F7F87"/>
    <w:rsid w:val="00401302"/>
    <w:rsid w:val="00425DFF"/>
    <w:rsid w:val="00441356"/>
    <w:rsid w:val="004519A9"/>
    <w:rsid w:val="00462BC2"/>
    <w:rsid w:val="004639F4"/>
    <w:rsid w:val="004A1D04"/>
    <w:rsid w:val="004A5569"/>
    <w:rsid w:val="004D5C2D"/>
    <w:rsid w:val="00503A0F"/>
    <w:rsid w:val="00521932"/>
    <w:rsid w:val="00533CCD"/>
    <w:rsid w:val="005364DB"/>
    <w:rsid w:val="00566BB4"/>
    <w:rsid w:val="005812E4"/>
    <w:rsid w:val="00586616"/>
    <w:rsid w:val="005D7857"/>
    <w:rsid w:val="00637DA7"/>
    <w:rsid w:val="0067358A"/>
    <w:rsid w:val="00681621"/>
    <w:rsid w:val="006C3CEA"/>
    <w:rsid w:val="006D6D6F"/>
    <w:rsid w:val="006E358E"/>
    <w:rsid w:val="006F272E"/>
    <w:rsid w:val="0070799D"/>
    <w:rsid w:val="00712E50"/>
    <w:rsid w:val="0074451B"/>
    <w:rsid w:val="00771839"/>
    <w:rsid w:val="00772876"/>
    <w:rsid w:val="0077402B"/>
    <w:rsid w:val="007A7BBB"/>
    <w:rsid w:val="007C1669"/>
    <w:rsid w:val="007E656A"/>
    <w:rsid w:val="0082036C"/>
    <w:rsid w:val="00825765"/>
    <w:rsid w:val="00852E48"/>
    <w:rsid w:val="00854D48"/>
    <w:rsid w:val="008B0DC6"/>
    <w:rsid w:val="008B18CA"/>
    <w:rsid w:val="008B34EC"/>
    <w:rsid w:val="00901BAE"/>
    <w:rsid w:val="00905787"/>
    <w:rsid w:val="009108AB"/>
    <w:rsid w:val="00923E9C"/>
    <w:rsid w:val="00981552"/>
    <w:rsid w:val="00985051"/>
    <w:rsid w:val="00990235"/>
    <w:rsid w:val="00990728"/>
    <w:rsid w:val="0099458A"/>
    <w:rsid w:val="009A1517"/>
    <w:rsid w:val="009A482A"/>
    <w:rsid w:val="009F3EF9"/>
    <w:rsid w:val="00A025FA"/>
    <w:rsid w:val="00A1521E"/>
    <w:rsid w:val="00A230C6"/>
    <w:rsid w:val="00A2586B"/>
    <w:rsid w:val="00A271CF"/>
    <w:rsid w:val="00A3751E"/>
    <w:rsid w:val="00A573C1"/>
    <w:rsid w:val="00A60F38"/>
    <w:rsid w:val="00A70FAE"/>
    <w:rsid w:val="00A94446"/>
    <w:rsid w:val="00AB1CCF"/>
    <w:rsid w:val="00AC56A0"/>
    <w:rsid w:val="00B40764"/>
    <w:rsid w:val="00B428E9"/>
    <w:rsid w:val="00B52888"/>
    <w:rsid w:val="00B652C2"/>
    <w:rsid w:val="00B65708"/>
    <w:rsid w:val="00B86A33"/>
    <w:rsid w:val="00BB6735"/>
    <w:rsid w:val="00C23AEF"/>
    <w:rsid w:val="00C3482F"/>
    <w:rsid w:val="00C37F2C"/>
    <w:rsid w:val="00C71495"/>
    <w:rsid w:val="00C84EF6"/>
    <w:rsid w:val="00C9390B"/>
    <w:rsid w:val="00CA66AE"/>
    <w:rsid w:val="00D31DF8"/>
    <w:rsid w:val="00D74BAF"/>
    <w:rsid w:val="00D8195F"/>
    <w:rsid w:val="00DA347A"/>
    <w:rsid w:val="00DA523B"/>
    <w:rsid w:val="00DB04B9"/>
    <w:rsid w:val="00DE11B5"/>
    <w:rsid w:val="00E6388F"/>
    <w:rsid w:val="00E92BDD"/>
    <w:rsid w:val="00E96DF2"/>
    <w:rsid w:val="00ED001D"/>
    <w:rsid w:val="00ED5319"/>
    <w:rsid w:val="00F24570"/>
    <w:rsid w:val="00F4102C"/>
    <w:rsid w:val="00F5199C"/>
    <w:rsid w:val="00F705C9"/>
    <w:rsid w:val="00F71AF7"/>
    <w:rsid w:val="00F76EC1"/>
    <w:rsid w:val="00F77092"/>
    <w:rsid w:val="00F81BF6"/>
    <w:rsid w:val="00FA455E"/>
    <w:rsid w:val="00FB225B"/>
    <w:rsid w:val="00FC3ECA"/>
    <w:rsid w:val="00FF4BF7"/>
    <w:rsid w:val="00FF6B9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316E2"/>
  <w15:docId w15:val="{9B77D4BD-BB4A-45E5-A54F-E5E5AAC3E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4570"/>
    <w:pPr>
      <w:spacing w:after="0" w:line="240" w:lineRule="auto"/>
    </w:pPr>
    <w:rPr>
      <w:rFonts w:ascii="Times New Roman" w:eastAsia="Times New Roman" w:hAnsi="Times New Roman" w:cs="Times New Roman"/>
      <w:sz w:val="24"/>
      <w:szCs w:val="24"/>
      <w:lang w:eastAsia="en-AU"/>
    </w:rPr>
  </w:style>
  <w:style w:type="paragraph" w:styleId="Heading1">
    <w:name w:val="heading 1"/>
    <w:basedOn w:val="Normal"/>
    <w:link w:val="Heading1Char"/>
    <w:uiPriority w:val="9"/>
    <w:qFormat/>
    <w:rsid w:val="002B6E1C"/>
    <w:pPr>
      <w:spacing w:before="100" w:beforeAutospacing="1" w:after="100" w:afterAutospacing="1"/>
      <w:outlineLvl w:val="0"/>
    </w:pPr>
    <w:rPr>
      <w:b/>
      <w:bCs/>
      <w:kern w:val="36"/>
      <w:sz w:val="48"/>
      <w:szCs w:val="48"/>
    </w:rPr>
  </w:style>
  <w:style w:type="paragraph" w:styleId="Heading3">
    <w:name w:val="heading 3"/>
    <w:basedOn w:val="Normal"/>
    <w:next w:val="Normal"/>
    <w:link w:val="Heading3Char"/>
    <w:uiPriority w:val="9"/>
    <w:semiHidden/>
    <w:unhideWhenUsed/>
    <w:qFormat/>
    <w:rsid w:val="00046997"/>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F24570"/>
    <w:pPr>
      <w:jc w:val="center"/>
    </w:pPr>
    <w:rPr>
      <w:noProof/>
    </w:rPr>
  </w:style>
  <w:style w:type="character" w:customStyle="1" w:styleId="EndNoteBibliographyTitleChar">
    <w:name w:val="EndNote Bibliography Title Char"/>
    <w:basedOn w:val="DefaultParagraphFont"/>
    <w:link w:val="EndNoteBibliographyTitle"/>
    <w:rsid w:val="00F24570"/>
    <w:rPr>
      <w:rFonts w:ascii="Times New Roman" w:eastAsia="Times New Roman" w:hAnsi="Times New Roman" w:cs="Times New Roman"/>
      <w:noProof/>
      <w:sz w:val="24"/>
      <w:szCs w:val="24"/>
      <w:lang w:eastAsia="en-AU"/>
    </w:rPr>
  </w:style>
  <w:style w:type="paragraph" w:customStyle="1" w:styleId="EndNoteBibliography">
    <w:name w:val="EndNote Bibliography"/>
    <w:basedOn w:val="Normal"/>
    <w:link w:val="EndNoteBibliographyChar"/>
    <w:rsid w:val="00F24570"/>
    <w:pPr>
      <w:spacing w:line="480" w:lineRule="auto"/>
    </w:pPr>
    <w:rPr>
      <w:noProof/>
    </w:rPr>
  </w:style>
  <w:style w:type="character" w:customStyle="1" w:styleId="EndNoteBibliographyChar">
    <w:name w:val="EndNote Bibliography Char"/>
    <w:basedOn w:val="DefaultParagraphFont"/>
    <w:link w:val="EndNoteBibliography"/>
    <w:rsid w:val="00F24570"/>
    <w:rPr>
      <w:rFonts w:ascii="Times New Roman" w:eastAsia="Times New Roman" w:hAnsi="Times New Roman" w:cs="Times New Roman"/>
      <w:noProof/>
      <w:sz w:val="24"/>
      <w:szCs w:val="24"/>
      <w:lang w:eastAsia="en-AU"/>
    </w:rPr>
  </w:style>
  <w:style w:type="character" w:customStyle="1" w:styleId="Heading1Char">
    <w:name w:val="Heading 1 Char"/>
    <w:basedOn w:val="DefaultParagraphFont"/>
    <w:link w:val="Heading1"/>
    <w:uiPriority w:val="9"/>
    <w:rsid w:val="002B6E1C"/>
    <w:rPr>
      <w:rFonts w:ascii="Times New Roman" w:eastAsia="Times New Roman" w:hAnsi="Times New Roman" w:cs="Times New Roman"/>
      <w:b/>
      <w:bCs/>
      <w:kern w:val="36"/>
      <w:sz w:val="48"/>
      <w:szCs w:val="48"/>
      <w:lang w:eastAsia="en-AU"/>
    </w:rPr>
  </w:style>
  <w:style w:type="character" w:customStyle="1" w:styleId="titleauthoretc">
    <w:name w:val="titleauthoretc"/>
    <w:basedOn w:val="DefaultParagraphFont"/>
    <w:rsid w:val="002B6E1C"/>
  </w:style>
  <w:style w:type="character" w:styleId="Hyperlink">
    <w:name w:val="Hyperlink"/>
    <w:basedOn w:val="DefaultParagraphFont"/>
    <w:uiPriority w:val="99"/>
    <w:semiHidden/>
    <w:unhideWhenUsed/>
    <w:rsid w:val="002B6E1C"/>
    <w:rPr>
      <w:color w:val="0000FF"/>
      <w:u w:val="single"/>
    </w:rPr>
  </w:style>
  <w:style w:type="character" w:styleId="Strong">
    <w:name w:val="Strong"/>
    <w:basedOn w:val="DefaultParagraphFont"/>
    <w:uiPriority w:val="22"/>
    <w:qFormat/>
    <w:rsid w:val="002B6E1C"/>
    <w:rPr>
      <w:b/>
      <w:bCs/>
    </w:rPr>
  </w:style>
  <w:style w:type="character" w:customStyle="1" w:styleId="expandable-author">
    <w:name w:val="expandable-author"/>
    <w:basedOn w:val="DefaultParagraphFont"/>
    <w:rsid w:val="002B6E1C"/>
  </w:style>
  <w:style w:type="character" w:customStyle="1" w:styleId="contribdegrees">
    <w:name w:val="contribdegrees"/>
    <w:basedOn w:val="DefaultParagraphFont"/>
    <w:rsid w:val="002B6E1C"/>
  </w:style>
  <w:style w:type="paragraph" w:styleId="BalloonText">
    <w:name w:val="Balloon Text"/>
    <w:basedOn w:val="Normal"/>
    <w:link w:val="BalloonTextChar"/>
    <w:uiPriority w:val="99"/>
    <w:semiHidden/>
    <w:unhideWhenUsed/>
    <w:rsid w:val="00462BC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2BC2"/>
    <w:rPr>
      <w:rFonts w:ascii="Segoe UI" w:eastAsia="Times New Roman" w:hAnsi="Segoe UI" w:cs="Segoe UI"/>
      <w:sz w:val="18"/>
      <w:szCs w:val="18"/>
      <w:lang w:eastAsia="en-AU"/>
    </w:rPr>
  </w:style>
  <w:style w:type="character" w:customStyle="1" w:styleId="Heading3Char">
    <w:name w:val="Heading 3 Char"/>
    <w:basedOn w:val="DefaultParagraphFont"/>
    <w:link w:val="Heading3"/>
    <w:uiPriority w:val="9"/>
    <w:semiHidden/>
    <w:rsid w:val="00046997"/>
    <w:rPr>
      <w:rFonts w:asciiTheme="majorHAnsi" w:eastAsiaTheme="majorEastAsia" w:hAnsiTheme="majorHAnsi" w:cstheme="majorBidi"/>
      <w:color w:val="243F60" w:themeColor="accent1" w:themeShade="7F"/>
      <w:sz w:val="24"/>
      <w:szCs w:val="24"/>
      <w:lang w:eastAsia="en-AU"/>
    </w:rPr>
  </w:style>
  <w:style w:type="paragraph" w:styleId="Header">
    <w:name w:val="header"/>
    <w:basedOn w:val="Normal"/>
    <w:link w:val="HeaderChar"/>
    <w:uiPriority w:val="99"/>
    <w:unhideWhenUsed/>
    <w:rsid w:val="00FF4BF7"/>
    <w:pPr>
      <w:tabs>
        <w:tab w:val="center" w:pos="4513"/>
        <w:tab w:val="right" w:pos="9026"/>
      </w:tabs>
    </w:pPr>
  </w:style>
  <w:style w:type="character" w:customStyle="1" w:styleId="HeaderChar">
    <w:name w:val="Header Char"/>
    <w:basedOn w:val="DefaultParagraphFont"/>
    <w:link w:val="Header"/>
    <w:uiPriority w:val="99"/>
    <w:rsid w:val="00FF4BF7"/>
    <w:rPr>
      <w:rFonts w:ascii="Times New Roman" w:eastAsia="Times New Roman" w:hAnsi="Times New Roman" w:cs="Times New Roman"/>
      <w:sz w:val="24"/>
      <w:szCs w:val="24"/>
      <w:lang w:eastAsia="en-AU"/>
    </w:rPr>
  </w:style>
  <w:style w:type="paragraph" w:styleId="Footer">
    <w:name w:val="footer"/>
    <w:basedOn w:val="Normal"/>
    <w:link w:val="FooterChar"/>
    <w:uiPriority w:val="99"/>
    <w:unhideWhenUsed/>
    <w:rsid w:val="00FF4BF7"/>
    <w:pPr>
      <w:tabs>
        <w:tab w:val="center" w:pos="4513"/>
        <w:tab w:val="right" w:pos="9026"/>
      </w:tabs>
    </w:pPr>
  </w:style>
  <w:style w:type="character" w:customStyle="1" w:styleId="FooterChar">
    <w:name w:val="Footer Char"/>
    <w:basedOn w:val="DefaultParagraphFont"/>
    <w:link w:val="Footer"/>
    <w:uiPriority w:val="99"/>
    <w:rsid w:val="00FF4BF7"/>
    <w:rPr>
      <w:rFonts w:ascii="Times New Roman" w:eastAsia="Times New Roman" w:hAnsi="Times New Roman" w:cs="Times New Roman"/>
      <w:sz w:val="24"/>
      <w:szCs w:val="24"/>
      <w:lang w:eastAsia="en-AU"/>
    </w:rPr>
  </w:style>
  <w:style w:type="character" w:styleId="CommentReference">
    <w:name w:val="annotation reference"/>
    <w:basedOn w:val="DefaultParagraphFont"/>
    <w:uiPriority w:val="99"/>
    <w:semiHidden/>
    <w:unhideWhenUsed/>
    <w:rsid w:val="004519A9"/>
    <w:rPr>
      <w:sz w:val="16"/>
      <w:szCs w:val="16"/>
    </w:rPr>
  </w:style>
  <w:style w:type="paragraph" w:styleId="CommentText">
    <w:name w:val="annotation text"/>
    <w:basedOn w:val="Normal"/>
    <w:link w:val="CommentTextChar"/>
    <w:uiPriority w:val="99"/>
    <w:semiHidden/>
    <w:unhideWhenUsed/>
    <w:rsid w:val="004519A9"/>
    <w:rPr>
      <w:sz w:val="20"/>
      <w:szCs w:val="20"/>
    </w:rPr>
  </w:style>
  <w:style w:type="character" w:customStyle="1" w:styleId="CommentTextChar">
    <w:name w:val="Comment Text Char"/>
    <w:basedOn w:val="DefaultParagraphFont"/>
    <w:link w:val="CommentText"/>
    <w:uiPriority w:val="99"/>
    <w:semiHidden/>
    <w:rsid w:val="004519A9"/>
    <w:rPr>
      <w:rFonts w:ascii="Times New Roman" w:eastAsia="Times New Roman" w:hAnsi="Times New Roman" w:cs="Times New Roman"/>
      <w:sz w:val="20"/>
      <w:szCs w:val="20"/>
      <w:lang w:eastAsia="en-AU"/>
    </w:rPr>
  </w:style>
  <w:style w:type="paragraph" w:styleId="CommentSubject">
    <w:name w:val="annotation subject"/>
    <w:basedOn w:val="CommentText"/>
    <w:next w:val="CommentText"/>
    <w:link w:val="CommentSubjectChar"/>
    <w:uiPriority w:val="99"/>
    <w:semiHidden/>
    <w:unhideWhenUsed/>
    <w:rsid w:val="004519A9"/>
    <w:rPr>
      <w:b/>
      <w:bCs/>
    </w:rPr>
  </w:style>
  <w:style w:type="character" w:customStyle="1" w:styleId="CommentSubjectChar">
    <w:name w:val="Comment Subject Char"/>
    <w:basedOn w:val="CommentTextChar"/>
    <w:link w:val="CommentSubject"/>
    <w:uiPriority w:val="99"/>
    <w:semiHidden/>
    <w:rsid w:val="004519A9"/>
    <w:rPr>
      <w:rFonts w:ascii="Times New Roman" w:eastAsia="Times New Roman" w:hAnsi="Times New Roman" w:cs="Times New Roman"/>
      <w:b/>
      <w:bCs/>
      <w:sz w:val="20"/>
      <w:szCs w:val="20"/>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629602">
      <w:bodyDiv w:val="1"/>
      <w:marLeft w:val="0"/>
      <w:marRight w:val="0"/>
      <w:marTop w:val="0"/>
      <w:marBottom w:val="0"/>
      <w:divBdr>
        <w:top w:val="none" w:sz="0" w:space="0" w:color="auto"/>
        <w:left w:val="none" w:sz="0" w:space="0" w:color="auto"/>
        <w:bottom w:val="none" w:sz="0" w:space="0" w:color="auto"/>
        <w:right w:val="none" w:sz="0" w:space="0" w:color="auto"/>
      </w:divBdr>
      <w:divsChild>
        <w:div w:id="1564678620">
          <w:marLeft w:val="0"/>
          <w:marRight w:val="0"/>
          <w:marTop w:val="0"/>
          <w:marBottom w:val="0"/>
          <w:divBdr>
            <w:top w:val="none" w:sz="0" w:space="0" w:color="auto"/>
            <w:left w:val="none" w:sz="0" w:space="0" w:color="auto"/>
            <w:bottom w:val="none" w:sz="0" w:space="0" w:color="auto"/>
            <w:right w:val="none" w:sz="0" w:space="0" w:color="auto"/>
          </w:divBdr>
          <w:divsChild>
            <w:div w:id="1683051648">
              <w:marLeft w:val="0"/>
              <w:marRight w:val="0"/>
              <w:marTop w:val="0"/>
              <w:marBottom w:val="0"/>
              <w:divBdr>
                <w:top w:val="none" w:sz="0" w:space="0" w:color="auto"/>
                <w:left w:val="none" w:sz="0" w:space="0" w:color="auto"/>
                <w:bottom w:val="none" w:sz="0" w:space="0" w:color="auto"/>
                <w:right w:val="none" w:sz="0" w:space="0" w:color="auto"/>
              </w:divBdr>
            </w:div>
          </w:divsChild>
        </w:div>
        <w:div w:id="997196320">
          <w:marLeft w:val="0"/>
          <w:marRight w:val="0"/>
          <w:marTop w:val="0"/>
          <w:marBottom w:val="150"/>
          <w:divBdr>
            <w:top w:val="none" w:sz="0" w:space="0" w:color="auto"/>
            <w:left w:val="none" w:sz="0" w:space="0" w:color="auto"/>
            <w:bottom w:val="none" w:sz="0" w:space="0" w:color="auto"/>
            <w:right w:val="none" w:sz="0" w:space="0" w:color="auto"/>
          </w:divBdr>
          <w:divsChild>
            <w:div w:id="119230931">
              <w:marLeft w:val="0"/>
              <w:marRight w:val="0"/>
              <w:marTop w:val="0"/>
              <w:marBottom w:val="0"/>
              <w:divBdr>
                <w:top w:val="none" w:sz="0" w:space="0" w:color="auto"/>
                <w:left w:val="none" w:sz="0" w:space="0" w:color="auto"/>
                <w:bottom w:val="none" w:sz="0" w:space="0" w:color="auto"/>
                <w:right w:val="none" w:sz="0" w:space="0" w:color="auto"/>
              </w:divBdr>
              <w:divsChild>
                <w:div w:id="1914392068">
                  <w:marLeft w:val="0"/>
                  <w:marRight w:val="0"/>
                  <w:marTop w:val="0"/>
                  <w:marBottom w:val="0"/>
                  <w:divBdr>
                    <w:top w:val="none" w:sz="0" w:space="0" w:color="auto"/>
                    <w:left w:val="none" w:sz="0" w:space="0" w:color="auto"/>
                    <w:bottom w:val="none" w:sz="0" w:space="0" w:color="auto"/>
                    <w:right w:val="none" w:sz="0" w:space="0" w:color="auto"/>
                  </w:divBdr>
                  <w:divsChild>
                    <w:div w:id="23883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852551">
      <w:bodyDiv w:val="1"/>
      <w:marLeft w:val="0"/>
      <w:marRight w:val="0"/>
      <w:marTop w:val="0"/>
      <w:marBottom w:val="0"/>
      <w:divBdr>
        <w:top w:val="none" w:sz="0" w:space="0" w:color="auto"/>
        <w:left w:val="none" w:sz="0" w:space="0" w:color="auto"/>
        <w:bottom w:val="none" w:sz="0" w:space="0" w:color="auto"/>
        <w:right w:val="none" w:sz="0" w:space="0" w:color="auto"/>
      </w:divBdr>
    </w:div>
    <w:div w:id="454062469">
      <w:bodyDiv w:val="1"/>
      <w:marLeft w:val="0"/>
      <w:marRight w:val="0"/>
      <w:marTop w:val="0"/>
      <w:marBottom w:val="0"/>
      <w:divBdr>
        <w:top w:val="none" w:sz="0" w:space="0" w:color="auto"/>
        <w:left w:val="none" w:sz="0" w:space="0" w:color="auto"/>
        <w:bottom w:val="none" w:sz="0" w:space="0" w:color="auto"/>
        <w:right w:val="none" w:sz="0" w:space="0" w:color="auto"/>
      </w:divBdr>
    </w:div>
    <w:div w:id="625703344">
      <w:bodyDiv w:val="1"/>
      <w:marLeft w:val="0"/>
      <w:marRight w:val="0"/>
      <w:marTop w:val="0"/>
      <w:marBottom w:val="0"/>
      <w:divBdr>
        <w:top w:val="none" w:sz="0" w:space="0" w:color="auto"/>
        <w:left w:val="none" w:sz="0" w:space="0" w:color="auto"/>
        <w:bottom w:val="none" w:sz="0" w:space="0" w:color="auto"/>
        <w:right w:val="none" w:sz="0" w:space="0" w:color="auto"/>
      </w:divBdr>
    </w:div>
    <w:div w:id="1048259280">
      <w:bodyDiv w:val="1"/>
      <w:marLeft w:val="0"/>
      <w:marRight w:val="0"/>
      <w:marTop w:val="0"/>
      <w:marBottom w:val="0"/>
      <w:divBdr>
        <w:top w:val="none" w:sz="0" w:space="0" w:color="auto"/>
        <w:left w:val="none" w:sz="0" w:space="0" w:color="auto"/>
        <w:bottom w:val="none" w:sz="0" w:space="0" w:color="auto"/>
        <w:right w:val="none" w:sz="0" w:space="0" w:color="auto"/>
      </w:divBdr>
      <w:divsChild>
        <w:div w:id="26830988">
          <w:marLeft w:val="0"/>
          <w:marRight w:val="0"/>
          <w:marTop w:val="0"/>
          <w:marBottom w:val="0"/>
          <w:divBdr>
            <w:top w:val="none" w:sz="0" w:space="0" w:color="auto"/>
            <w:left w:val="none" w:sz="0" w:space="0" w:color="auto"/>
            <w:bottom w:val="none" w:sz="0" w:space="0" w:color="auto"/>
            <w:right w:val="none" w:sz="0" w:space="0" w:color="auto"/>
          </w:divBdr>
        </w:div>
        <w:div w:id="1579753429">
          <w:marLeft w:val="0"/>
          <w:marRight w:val="0"/>
          <w:marTop w:val="0"/>
          <w:marBottom w:val="0"/>
          <w:divBdr>
            <w:top w:val="none" w:sz="0" w:space="0" w:color="auto"/>
            <w:left w:val="none" w:sz="0" w:space="0" w:color="auto"/>
            <w:bottom w:val="none" w:sz="0" w:space="0" w:color="auto"/>
            <w:right w:val="none" w:sz="0" w:space="0" w:color="auto"/>
          </w:divBdr>
        </w:div>
      </w:divsChild>
    </w:div>
    <w:div w:id="1303580394">
      <w:bodyDiv w:val="1"/>
      <w:marLeft w:val="0"/>
      <w:marRight w:val="0"/>
      <w:marTop w:val="0"/>
      <w:marBottom w:val="0"/>
      <w:divBdr>
        <w:top w:val="none" w:sz="0" w:space="0" w:color="auto"/>
        <w:left w:val="none" w:sz="0" w:space="0" w:color="auto"/>
        <w:bottom w:val="none" w:sz="0" w:space="0" w:color="auto"/>
        <w:right w:val="none" w:sz="0" w:space="0" w:color="auto"/>
      </w:divBdr>
    </w:div>
    <w:div w:id="1529172229">
      <w:bodyDiv w:val="1"/>
      <w:marLeft w:val="0"/>
      <w:marRight w:val="0"/>
      <w:marTop w:val="0"/>
      <w:marBottom w:val="0"/>
      <w:divBdr>
        <w:top w:val="none" w:sz="0" w:space="0" w:color="auto"/>
        <w:left w:val="none" w:sz="0" w:space="0" w:color="auto"/>
        <w:bottom w:val="none" w:sz="0" w:space="0" w:color="auto"/>
        <w:right w:val="none" w:sz="0" w:space="0" w:color="auto"/>
      </w:divBdr>
    </w:div>
    <w:div w:id="1757634769">
      <w:bodyDiv w:val="1"/>
      <w:marLeft w:val="0"/>
      <w:marRight w:val="0"/>
      <w:marTop w:val="0"/>
      <w:marBottom w:val="0"/>
      <w:divBdr>
        <w:top w:val="none" w:sz="0" w:space="0" w:color="auto"/>
        <w:left w:val="none" w:sz="0" w:space="0" w:color="auto"/>
        <w:bottom w:val="none" w:sz="0" w:space="0" w:color="auto"/>
        <w:right w:val="none" w:sz="0" w:space="0" w:color="auto"/>
      </w:divBdr>
    </w:div>
    <w:div w:id="1937325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microsoft.com/office/2016/09/relationships/commentsIds" Target="commentsId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25</Pages>
  <Words>11528</Words>
  <Characters>65713</Characters>
  <Application>Microsoft Office Word</Application>
  <DocSecurity>0</DocSecurity>
  <Lines>547</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Philip Batterham</cp:lastModifiedBy>
  <cp:revision>3</cp:revision>
  <cp:lastPrinted>2019-06-18T09:19:00Z</cp:lastPrinted>
  <dcterms:created xsi:type="dcterms:W3CDTF">2019-12-11T05:50:00Z</dcterms:created>
  <dcterms:modified xsi:type="dcterms:W3CDTF">2019-12-11T05:50:00Z</dcterms:modified>
</cp:coreProperties>
</file>