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8E301F" w14:textId="77777777" w:rsidR="00F27828" w:rsidRPr="00C5488C" w:rsidRDefault="00F27828" w:rsidP="00F27828">
      <w:pPr>
        <w:jc w:val="center"/>
        <w:rPr>
          <w:rFonts w:asciiTheme="majorHAnsi" w:hAnsiTheme="majorHAnsi"/>
          <w:b/>
          <w:sz w:val="32"/>
          <w:szCs w:val="32"/>
        </w:rPr>
      </w:pPr>
      <w:r w:rsidRPr="00C5488C">
        <w:rPr>
          <w:rFonts w:asciiTheme="majorHAnsi" w:hAnsiTheme="majorHAnsi"/>
          <w:b/>
          <w:sz w:val="32"/>
          <w:szCs w:val="32"/>
        </w:rPr>
        <w:t>Public opinion on sentencing and parole in Australia</w:t>
      </w:r>
    </w:p>
    <w:p w14:paraId="47D90475" w14:textId="77777777" w:rsidR="00F27828" w:rsidRPr="00C5488C" w:rsidRDefault="00F27828" w:rsidP="00F27828">
      <w:pPr>
        <w:jc w:val="center"/>
        <w:rPr>
          <w:rFonts w:asciiTheme="majorHAnsi" w:hAnsiTheme="majorHAnsi"/>
          <w:b/>
          <w:sz w:val="32"/>
          <w:szCs w:val="32"/>
        </w:rPr>
      </w:pPr>
    </w:p>
    <w:p w14:paraId="6B8CC542" w14:textId="77777777" w:rsidR="00F27828" w:rsidRPr="00C5488C" w:rsidRDefault="00F27828" w:rsidP="00F27828">
      <w:pPr>
        <w:jc w:val="center"/>
        <w:rPr>
          <w:rFonts w:asciiTheme="majorHAnsi" w:hAnsiTheme="majorHAnsi"/>
          <w:b/>
          <w:sz w:val="28"/>
          <w:szCs w:val="28"/>
        </w:rPr>
      </w:pPr>
      <w:r w:rsidRPr="00C5488C">
        <w:rPr>
          <w:rFonts w:asciiTheme="majorHAnsi" w:hAnsiTheme="majorHAnsi"/>
          <w:b/>
          <w:sz w:val="28"/>
          <w:szCs w:val="28"/>
        </w:rPr>
        <w:t>Lorana Bartels*, Robin Fitzgerald^ and Arie Freiberg#</w:t>
      </w:r>
    </w:p>
    <w:p w14:paraId="12785D21" w14:textId="77777777" w:rsidR="00F27828" w:rsidRPr="00153E18" w:rsidRDefault="00F27828" w:rsidP="00F27828">
      <w:pPr>
        <w:rPr>
          <w:sz w:val="32"/>
          <w:szCs w:val="32"/>
          <w:highlight w:val="yellow"/>
        </w:rPr>
      </w:pPr>
    </w:p>
    <w:p w14:paraId="2E99810C" w14:textId="77777777" w:rsidR="00F27828" w:rsidRDefault="00F27828" w:rsidP="00F27828">
      <w:pPr>
        <w:spacing w:line="360" w:lineRule="auto"/>
        <w:ind w:left="720"/>
        <w:rPr>
          <w:i/>
        </w:rPr>
      </w:pPr>
      <w:r w:rsidRPr="005808FB">
        <w:rPr>
          <w:i/>
        </w:rPr>
        <w:t>Australia has nine different legislative regimes for sentencing and parole</w:t>
      </w:r>
      <w:r>
        <w:rPr>
          <w:i/>
        </w:rPr>
        <w:t>, as well as</w:t>
      </w:r>
      <w:r w:rsidRPr="005808FB">
        <w:rPr>
          <w:i/>
        </w:rPr>
        <w:t xml:space="preserve"> eight prison regimes</w:t>
      </w:r>
      <w:r>
        <w:rPr>
          <w:i/>
        </w:rPr>
        <w:t>; it</w:t>
      </w:r>
      <w:r w:rsidRPr="005808FB">
        <w:rPr>
          <w:i/>
        </w:rPr>
        <w:t xml:space="preserve"> has therefore been described as an ideal penal laboratory. This paper presents an overview of the extensive body of recent Australian research on public opinion on sentencing and, more recently, parole. The discussion on parole is situated in the context of </w:t>
      </w:r>
      <w:r>
        <w:rPr>
          <w:i/>
        </w:rPr>
        <w:t>an analysis</w:t>
      </w:r>
      <w:r w:rsidRPr="005808FB">
        <w:rPr>
          <w:i/>
        </w:rPr>
        <w:t xml:space="preserve"> of the legislative and policy landscape, which has undergone significant changes in recent years. The paper concludes with some comments on future</w:t>
      </w:r>
      <w:r>
        <w:rPr>
          <w:i/>
        </w:rPr>
        <w:t xml:space="preserve"> research</w:t>
      </w:r>
      <w:r w:rsidRPr="005808FB">
        <w:rPr>
          <w:i/>
        </w:rPr>
        <w:t xml:space="preserve"> directions in research and policy.</w:t>
      </w:r>
    </w:p>
    <w:p w14:paraId="51F87CD4" w14:textId="77777777" w:rsidR="00F27828" w:rsidRPr="005808FB" w:rsidRDefault="00F27828" w:rsidP="00F27828">
      <w:pPr>
        <w:spacing w:line="360" w:lineRule="auto"/>
        <w:ind w:left="720"/>
        <w:rPr>
          <w:i/>
        </w:rPr>
      </w:pPr>
      <w:r w:rsidRPr="00752BD7">
        <w:rPr>
          <w:i/>
        </w:rPr>
        <w:t>KEYWORDS:</w:t>
      </w:r>
      <w:r>
        <w:rPr>
          <w:i/>
        </w:rPr>
        <w:t xml:space="preserve"> Sentencing, parole, parole boards, public opinion, Australia</w:t>
      </w:r>
    </w:p>
    <w:p w14:paraId="44D9B831" w14:textId="77777777" w:rsidR="00F27828" w:rsidRDefault="00F27828" w:rsidP="00F27828">
      <w:pPr>
        <w:ind w:left="1440"/>
        <w:rPr>
          <w:highlight w:val="yellow"/>
        </w:rPr>
      </w:pPr>
    </w:p>
    <w:p w14:paraId="6F7C0E35" w14:textId="77777777" w:rsidR="00F27828" w:rsidRDefault="00F27828" w:rsidP="00F27828">
      <w:pPr>
        <w:ind w:left="1440"/>
        <w:rPr>
          <w:highlight w:val="yellow"/>
        </w:rPr>
      </w:pPr>
    </w:p>
    <w:p w14:paraId="053A025D" w14:textId="77777777" w:rsidR="00F27828" w:rsidRPr="00C5488C" w:rsidRDefault="00F27828" w:rsidP="00F27828">
      <w:pPr>
        <w:ind w:left="1440"/>
        <w:rPr>
          <w:rFonts w:ascii="Times" w:hAnsi="Times"/>
          <w:highlight w:val="yellow"/>
        </w:rPr>
      </w:pPr>
    </w:p>
    <w:p w14:paraId="1D796E0C" w14:textId="77777777" w:rsidR="00F27828" w:rsidRPr="00C5488C" w:rsidRDefault="00F27828" w:rsidP="00F27828">
      <w:pPr>
        <w:rPr>
          <w:rFonts w:ascii="Times" w:hAnsi="Times"/>
        </w:rPr>
      </w:pPr>
      <w:r w:rsidRPr="00C5488C">
        <w:rPr>
          <w:rFonts w:ascii="Times" w:hAnsi="Times"/>
        </w:rPr>
        <w:t>* Lorana Bartels, BA LLB LLM (UNSW); PhD (UTas); Associate Professor and Head, School of Law and Justice (UC)</w:t>
      </w:r>
    </w:p>
    <w:p w14:paraId="567F880B" w14:textId="77777777" w:rsidR="00F27828" w:rsidRPr="00C5488C" w:rsidRDefault="00F27828" w:rsidP="00F27828">
      <w:pPr>
        <w:rPr>
          <w:rFonts w:ascii="Times" w:hAnsi="Times"/>
        </w:rPr>
      </w:pPr>
      <w:r w:rsidRPr="00C5488C">
        <w:rPr>
          <w:rFonts w:ascii="Times" w:hAnsi="Times"/>
        </w:rPr>
        <w:t>^ Robin Fitzgerald, BA (McGill); MA (SFU); PhD (Carleton), Senior Lecturer, University of Queensland</w:t>
      </w:r>
    </w:p>
    <w:p w14:paraId="7592E4FC" w14:textId="77777777" w:rsidR="00F27828" w:rsidRPr="00C5488C" w:rsidRDefault="00F27828" w:rsidP="00F27828">
      <w:pPr>
        <w:pStyle w:val="FootnoteText"/>
        <w:rPr>
          <w:rFonts w:ascii="Times" w:hAnsi="Times"/>
        </w:rPr>
      </w:pPr>
      <w:r w:rsidRPr="00C5488C">
        <w:rPr>
          <w:rFonts w:ascii="Times" w:hAnsi="Times" w:cs="Times New Roman"/>
          <w:lang w:val="en-US"/>
        </w:rPr>
        <w:t xml:space="preserve"># </w:t>
      </w:r>
      <w:r w:rsidRPr="00C5488C">
        <w:rPr>
          <w:rFonts w:ascii="Times" w:hAnsi="Times"/>
        </w:rPr>
        <w:t>Arie Freiberg, LLB (Hons) (Melb); LLM (Monash); LLD (Melb), Emeritus Professor, Monash University</w:t>
      </w:r>
    </w:p>
    <w:p w14:paraId="1F679355" w14:textId="77777777" w:rsidR="00F27828" w:rsidRPr="00C5488C" w:rsidRDefault="00F27828" w:rsidP="00F27828">
      <w:pPr>
        <w:pStyle w:val="FootnoteText"/>
        <w:rPr>
          <w:rFonts w:ascii="Times" w:hAnsi="Times"/>
        </w:rPr>
      </w:pPr>
    </w:p>
    <w:p w14:paraId="638BDA0D" w14:textId="77777777" w:rsidR="00F27828" w:rsidRPr="00C5488C" w:rsidRDefault="00F27828" w:rsidP="00F27828">
      <w:pPr>
        <w:pStyle w:val="FootnoteText"/>
        <w:rPr>
          <w:rFonts w:ascii="Times" w:hAnsi="Times"/>
        </w:rPr>
      </w:pPr>
      <w:r w:rsidRPr="00C5488C">
        <w:rPr>
          <w:rFonts w:ascii="Times" w:hAnsi="Times"/>
        </w:rPr>
        <w:t>The authors acknowledge the earlier contributions of Adrian Cherney to this project. This project is funded in part by Australian Research Council grant DP150100569.</w:t>
      </w:r>
    </w:p>
    <w:p w14:paraId="07390B14" w14:textId="77777777" w:rsidR="00F27828" w:rsidRPr="00C5488C" w:rsidRDefault="00F27828" w:rsidP="00F27828"/>
    <w:p w14:paraId="4A274169" w14:textId="77777777" w:rsidR="005808FB" w:rsidRDefault="005808FB" w:rsidP="005808FB">
      <w:pPr>
        <w:ind w:left="1440"/>
        <w:rPr>
          <w:highlight w:val="yellow"/>
        </w:rPr>
      </w:pPr>
      <w:bookmarkStart w:id="0" w:name="_GoBack"/>
      <w:bookmarkEnd w:id="0"/>
    </w:p>
    <w:p w14:paraId="14A8E65C" w14:textId="77777777" w:rsidR="00C5488C" w:rsidRPr="00C5488C" w:rsidRDefault="00C5488C" w:rsidP="00C5488C"/>
    <w:p w14:paraId="2D00EBF9" w14:textId="77777777" w:rsidR="00C5488C" w:rsidRDefault="00C5488C">
      <w:pPr>
        <w:rPr>
          <w:rFonts w:asciiTheme="majorHAnsi" w:eastAsiaTheme="majorEastAsia" w:hAnsiTheme="majorHAnsi" w:cstheme="majorBidi"/>
          <w:color w:val="365F91" w:themeColor="accent1" w:themeShade="BF"/>
          <w:sz w:val="32"/>
          <w:szCs w:val="32"/>
          <w:lang w:val="en-AU"/>
        </w:rPr>
      </w:pPr>
      <w:r>
        <w:br w:type="page"/>
      </w:r>
    </w:p>
    <w:p w14:paraId="7BC1DE79" w14:textId="1E729669" w:rsidR="00486CB9" w:rsidRPr="00C5488C" w:rsidRDefault="00486CB9" w:rsidP="002354AF">
      <w:pPr>
        <w:pStyle w:val="Heading1"/>
        <w:rPr>
          <w:color w:val="000000" w:themeColor="text1"/>
        </w:rPr>
      </w:pPr>
      <w:r w:rsidRPr="00C5488C">
        <w:rPr>
          <w:color w:val="000000" w:themeColor="text1"/>
        </w:rPr>
        <w:lastRenderedPageBreak/>
        <w:t>Introduction</w:t>
      </w:r>
    </w:p>
    <w:p w14:paraId="2D051718" w14:textId="734B62DB" w:rsidR="00D66B5F" w:rsidRDefault="00F23A9D" w:rsidP="00BB43A1">
      <w:pPr>
        <w:spacing w:after="120" w:line="360" w:lineRule="auto"/>
        <w:rPr>
          <w:rFonts w:ascii="Times" w:hAnsi="Times"/>
        </w:rPr>
      </w:pPr>
      <w:r w:rsidRPr="00CF0039">
        <w:rPr>
          <w:rFonts w:ascii="Times" w:hAnsi="Times"/>
        </w:rPr>
        <w:t>There are nine different legislative regimes for sentencing and parole in Australia: one f</w:t>
      </w:r>
      <w:r w:rsidR="001D0EBA">
        <w:rPr>
          <w:rFonts w:ascii="Times" w:hAnsi="Times"/>
        </w:rPr>
        <w:t xml:space="preserve">ederal </w:t>
      </w:r>
      <w:r w:rsidR="006C1C09">
        <w:rPr>
          <w:rFonts w:ascii="Times" w:hAnsi="Times"/>
        </w:rPr>
        <w:t xml:space="preserve">system </w:t>
      </w:r>
      <w:r w:rsidR="001D0EBA">
        <w:rPr>
          <w:rFonts w:ascii="Times" w:hAnsi="Times"/>
        </w:rPr>
        <w:t>and eight state</w:t>
      </w:r>
      <w:r w:rsidR="006C1C09">
        <w:rPr>
          <w:rFonts w:ascii="Times" w:hAnsi="Times"/>
        </w:rPr>
        <w:t>s</w:t>
      </w:r>
      <w:r w:rsidR="001D0EBA">
        <w:rPr>
          <w:rFonts w:ascii="Times" w:hAnsi="Times"/>
        </w:rPr>
        <w:t xml:space="preserve"> </w:t>
      </w:r>
      <w:r w:rsidR="006C1C09">
        <w:rPr>
          <w:rFonts w:ascii="Times" w:hAnsi="Times"/>
        </w:rPr>
        <w:t>and territories</w:t>
      </w:r>
      <w:r w:rsidR="001D0EBA">
        <w:rPr>
          <w:rFonts w:ascii="Times" w:hAnsi="Times"/>
        </w:rPr>
        <w:t>. I</w:t>
      </w:r>
      <w:r w:rsidRPr="00CF0039">
        <w:rPr>
          <w:rFonts w:ascii="Times" w:hAnsi="Times"/>
        </w:rPr>
        <w:t>n descending order of population, these are New South Wales (NSW), Victoria, Queensland, Western Australia, South Australia, Tasmania, the Australian Capital Territory (</w:t>
      </w:r>
      <w:r w:rsidR="00FE523A">
        <w:rPr>
          <w:rFonts w:ascii="Times" w:hAnsi="Times"/>
        </w:rPr>
        <w:t>ACT) and the Northern Territory</w:t>
      </w:r>
      <w:r w:rsidRPr="00CF0039">
        <w:rPr>
          <w:rFonts w:ascii="Times" w:hAnsi="Times"/>
        </w:rPr>
        <w:t>.</w:t>
      </w:r>
      <w:r w:rsidR="00D66B5F">
        <w:rPr>
          <w:rFonts w:ascii="Times" w:hAnsi="Times"/>
        </w:rPr>
        <w:t xml:space="preserve"> </w:t>
      </w:r>
      <w:r w:rsidR="001D0EBA">
        <w:rPr>
          <w:rFonts w:ascii="Times" w:hAnsi="Times"/>
        </w:rPr>
        <w:t xml:space="preserve">There are eight prison systems, with </w:t>
      </w:r>
      <w:r w:rsidR="006C1C09">
        <w:rPr>
          <w:rFonts w:ascii="Times" w:hAnsi="Times"/>
        </w:rPr>
        <w:t xml:space="preserve">federal offenders – who account for </w:t>
      </w:r>
      <w:r w:rsidR="005F00BF">
        <w:rPr>
          <w:rFonts w:ascii="Times" w:hAnsi="Times"/>
        </w:rPr>
        <w:t>about two per</w:t>
      </w:r>
      <w:r w:rsidR="00D66B5F" w:rsidRPr="00D66B5F">
        <w:rPr>
          <w:rFonts w:ascii="Times" w:hAnsi="Times"/>
        </w:rPr>
        <w:t>cent offenders (</w:t>
      </w:r>
      <w:r w:rsidR="00F3455D">
        <w:rPr>
          <w:rFonts w:ascii="Times" w:hAnsi="Times"/>
        </w:rPr>
        <w:t>Australian Bureau of Statistics (</w:t>
      </w:r>
      <w:r w:rsidR="00D66B5F" w:rsidRPr="00D66B5F">
        <w:rPr>
          <w:rFonts w:ascii="Times" w:hAnsi="Times"/>
        </w:rPr>
        <w:t>ABS</w:t>
      </w:r>
      <w:r w:rsidR="00F3455D">
        <w:rPr>
          <w:rFonts w:ascii="Times" w:hAnsi="Times"/>
        </w:rPr>
        <w:t>)</w:t>
      </w:r>
      <w:r w:rsidR="00F17E6B">
        <w:rPr>
          <w:rFonts w:ascii="Times" w:hAnsi="Times"/>
        </w:rPr>
        <w:t>, 201</w:t>
      </w:r>
      <w:r w:rsidR="00D66B5F" w:rsidRPr="00D66B5F">
        <w:rPr>
          <w:rFonts w:ascii="Times" w:hAnsi="Times"/>
        </w:rPr>
        <w:t>7</w:t>
      </w:r>
      <w:r w:rsidR="00F3455D">
        <w:rPr>
          <w:rFonts w:ascii="Times" w:hAnsi="Times"/>
        </w:rPr>
        <w:t>b</w:t>
      </w:r>
      <w:r w:rsidR="00D66B5F" w:rsidRPr="00D66B5F">
        <w:rPr>
          <w:rFonts w:ascii="Times" w:hAnsi="Times"/>
        </w:rPr>
        <w:t xml:space="preserve">) </w:t>
      </w:r>
      <w:r w:rsidR="006C1C09">
        <w:rPr>
          <w:rFonts w:ascii="Times" w:hAnsi="Times"/>
        </w:rPr>
        <w:t xml:space="preserve">– </w:t>
      </w:r>
      <w:r w:rsidR="00D66B5F" w:rsidRPr="00D66B5F">
        <w:rPr>
          <w:rFonts w:ascii="Times" w:hAnsi="Times"/>
        </w:rPr>
        <w:t>s</w:t>
      </w:r>
      <w:r w:rsidR="006C1C09">
        <w:rPr>
          <w:rFonts w:ascii="Times" w:hAnsi="Times"/>
        </w:rPr>
        <w:t>erving</w:t>
      </w:r>
      <w:r w:rsidR="00D66B5F" w:rsidRPr="00D66B5F">
        <w:rPr>
          <w:rFonts w:ascii="Times" w:hAnsi="Times"/>
        </w:rPr>
        <w:t xml:space="preserve"> their time in state and territory prisons.</w:t>
      </w:r>
    </w:p>
    <w:p w14:paraId="7C7E0FF9" w14:textId="06553837" w:rsidR="00524925" w:rsidRDefault="00C4482E" w:rsidP="00BB43A1">
      <w:pPr>
        <w:spacing w:after="120" w:line="360" w:lineRule="auto"/>
        <w:rPr>
          <w:rFonts w:ascii="Times" w:hAnsi="Times"/>
        </w:rPr>
      </w:pPr>
      <w:r>
        <w:rPr>
          <w:rFonts w:ascii="Times" w:hAnsi="Times"/>
        </w:rPr>
        <w:t xml:space="preserve">As Tubex </w:t>
      </w:r>
      <w:r w:rsidR="00F17E6B">
        <w:rPr>
          <w:rFonts w:ascii="Times" w:hAnsi="Times"/>
        </w:rPr>
        <w:t>et al.</w:t>
      </w:r>
      <w:r>
        <w:rPr>
          <w:rFonts w:ascii="Times" w:hAnsi="Times"/>
        </w:rPr>
        <w:t xml:space="preserve"> have discussed, t</w:t>
      </w:r>
      <w:r w:rsidR="00F23A9D" w:rsidRPr="00CF0039">
        <w:rPr>
          <w:rFonts w:ascii="Times" w:hAnsi="Times"/>
        </w:rPr>
        <w:t>here is wide variation in imprisonment rates</w:t>
      </w:r>
      <w:r w:rsidR="00E9465E">
        <w:rPr>
          <w:rFonts w:ascii="Times" w:hAnsi="Times"/>
        </w:rPr>
        <w:t xml:space="preserve"> and Australia is therefore an ‘ideal penal laboratory’ (2015: 346). N</w:t>
      </w:r>
      <w:r w:rsidR="00F23A9D" w:rsidRPr="00CF0039">
        <w:rPr>
          <w:rFonts w:ascii="Times" w:hAnsi="Times"/>
        </w:rPr>
        <w:t>ationally, the rate is 21</w:t>
      </w:r>
      <w:r w:rsidR="00F3455D">
        <w:rPr>
          <w:rFonts w:ascii="Times" w:hAnsi="Times"/>
        </w:rPr>
        <w:t>7</w:t>
      </w:r>
      <w:r w:rsidR="00F23A9D" w:rsidRPr="00CF0039">
        <w:rPr>
          <w:rFonts w:ascii="Times" w:hAnsi="Times"/>
        </w:rPr>
        <w:t xml:space="preserve"> per 100,000 head of population, but this ranges from 14</w:t>
      </w:r>
      <w:r w:rsidR="00F3455D">
        <w:rPr>
          <w:rFonts w:ascii="Times" w:hAnsi="Times"/>
        </w:rPr>
        <w:t>6</w:t>
      </w:r>
      <w:r w:rsidR="00F23A9D" w:rsidRPr="00CF0039">
        <w:rPr>
          <w:rFonts w:ascii="Times" w:hAnsi="Times"/>
        </w:rPr>
        <w:t xml:space="preserve"> in Tasmania to </w:t>
      </w:r>
      <w:r w:rsidR="00F3455D">
        <w:rPr>
          <w:rFonts w:ascii="Times" w:hAnsi="Times"/>
        </w:rPr>
        <w:t>880</w:t>
      </w:r>
      <w:r w:rsidR="00F23A9D" w:rsidRPr="00CF0039">
        <w:rPr>
          <w:rFonts w:ascii="Times" w:hAnsi="Times"/>
        </w:rPr>
        <w:t xml:space="preserve"> in the </w:t>
      </w:r>
      <w:r>
        <w:rPr>
          <w:rFonts w:ascii="Times" w:hAnsi="Times"/>
        </w:rPr>
        <w:t>Northern Territory (ABS</w:t>
      </w:r>
      <w:r w:rsidR="00F17E6B">
        <w:rPr>
          <w:rFonts w:ascii="Times" w:hAnsi="Times"/>
        </w:rPr>
        <w:t>, 201</w:t>
      </w:r>
      <w:r>
        <w:rPr>
          <w:rFonts w:ascii="Times" w:hAnsi="Times"/>
        </w:rPr>
        <w:t>7</w:t>
      </w:r>
      <w:r w:rsidR="00F3455D">
        <w:rPr>
          <w:rFonts w:ascii="Times" w:hAnsi="Times"/>
        </w:rPr>
        <w:t>b</w:t>
      </w:r>
      <w:r>
        <w:rPr>
          <w:rFonts w:ascii="Times" w:hAnsi="Times"/>
        </w:rPr>
        <w:t xml:space="preserve">). </w:t>
      </w:r>
      <w:r w:rsidR="00524925">
        <w:rPr>
          <w:rFonts w:ascii="Times" w:hAnsi="Times"/>
        </w:rPr>
        <w:t xml:space="preserve">NSW is the largest jurisdiction in Australia; with around a third of the general and prison population, it tends to drive national imprisonment rates (Tubex </w:t>
      </w:r>
      <w:r w:rsidR="00F17E6B">
        <w:rPr>
          <w:rFonts w:ascii="Times" w:hAnsi="Times"/>
        </w:rPr>
        <w:t>et al., 201</w:t>
      </w:r>
      <w:r w:rsidR="00524925">
        <w:rPr>
          <w:rFonts w:ascii="Times" w:hAnsi="Times"/>
        </w:rPr>
        <w:t>5).</w:t>
      </w:r>
    </w:p>
    <w:p w14:paraId="22D7FD01" w14:textId="3AE026BC" w:rsidR="00F23A9D" w:rsidRPr="00CF0039" w:rsidRDefault="00C4482E" w:rsidP="00BB43A1">
      <w:pPr>
        <w:spacing w:after="120" w:line="360" w:lineRule="auto"/>
        <w:rPr>
          <w:rFonts w:ascii="Times" w:hAnsi="Times"/>
        </w:rPr>
      </w:pPr>
      <w:r>
        <w:rPr>
          <w:rFonts w:ascii="Times" w:hAnsi="Times"/>
        </w:rPr>
        <w:t xml:space="preserve">As at </w:t>
      </w:r>
      <w:r w:rsidR="00F3455D">
        <w:rPr>
          <w:rFonts w:ascii="Times" w:hAnsi="Times"/>
        </w:rPr>
        <w:t>June</w:t>
      </w:r>
      <w:r w:rsidR="00F17E6B">
        <w:rPr>
          <w:rFonts w:ascii="Times" w:hAnsi="Times"/>
        </w:rPr>
        <w:t>, 201</w:t>
      </w:r>
      <w:r>
        <w:rPr>
          <w:rFonts w:ascii="Times" w:hAnsi="Times"/>
        </w:rPr>
        <w:t>7, there we</w:t>
      </w:r>
      <w:r w:rsidR="00F23A9D" w:rsidRPr="00CF0039">
        <w:rPr>
          <w:rFonts w:ascii="Times" w:hAnsi="Times"/>
        </w:rPr>
        <w:t>re just over 41,000 prisoners</w:t>
      </w:r>
      <w:r>
        <w:rPr>
          <w:rFonts w:ascii="Times" w:hAnsi="Times"/>
        </w:rPr>
        <w:t>, the highest figure on record, and numbers we</w:t>
      </w:r>
      <w:r w:rsidR="00F23A9D" w:rsidRPr="00CF0039">
        <w:rPr>
          <w:rFonts w:ascii="Times" w:hAnsi="Times"/>
        </w:rPr>
        <w:t>re rising at approximately 7</w:t>
      </w:r>
      <w:r w:rsidR="00D66B5F">
        <w:rPr>
          <w:rFonts w:ascii="Times" w:hAnsi="Times"/>
        </w:rPr>
        <w:t xml:space="preserve"> percent</w:t>
      </w:r>
      <w:r w:rsidR="00F23A9D" w:rsidRPr="00CF0039">
        <w:rPr>
          <w:rFonts w:ascii="Times" w:hAnsi="Times"/>
        </w:rPr>
        <w:t xml:space="preserve"> a year</w:t>
      </w:r>
      <w:r w:rsidR="00085CFC">
        <w:rPr>
          <w:rFonts w:ascii="Times" w:hAnsi="Times"/>
        </w:rPr>
        <w:t xml:space="preserve"> (ABS</w:t>
      </w:r>
      <w:r w:rsidR="00F17E6B">
        <w:rPr>
          <w:rFonts w:ascii="Times" w:hAnsi="Times"/>
        </w:rPr>
        <w:t>, 201</w:t>
      </w:r>
      <w:r w:rsidR="00085CFC">
        <w:rPr>
          <w:rFonts w:ascii="Times" w:hAnsi="Times"/>
        </w:rPr>
        <w:t>7</w:t>
      </w:r>
      <w:r w:rsidR="00F3455D">
        <w:rPr>
          <w:rFonts w:ascii="Times" w:hAnsi="Times"/>
        </w:rPr>
        <w:t>b</w:t>
      </w:r>
      <w:r w:rsidR="00085CFC">
        <w:rPr>
          <w:rFonts w:ascii="Times" w:hAnsi="Times"/>
        </w:rPr>
        <w:t>; for comment, see Bartels</w:t>
      </w:r>
      <w:r w:rsidR="00F17E6B">
        <w:rPr>
          <w:rFonts w:ascii="Times" w:hAnsi="Times"/>
        </w:rPr>
        <w:t>, 201</w:t>
      </w:r>
      <w:r w:rsidR="00085CFC">
        <w:rPr>
          <w:rFonts w:ascii="Times" w:hAnsi="Times"/>
        </w:rPr>
        <w:t>6; Freiberg</w:t>
      </w:r>
      <w:r w:rsidR="00F17E6B">
        <w:rPr>
          <w:rFonts w:ascii="Times" w:hAnsi="Times"/>
        </w:rPr>
        <w:t>, 201</w:t>
      </w:r>
      <w:r w:rsidR="00085CFC">
        <w:rPr>
          <w:rFonts w:ascii="Times" w:hAnsi="Times"/>
        </w:rPr>
        <w:t>6)</w:t>
      </w:r>
      <w:r w:rsidR="00F23A9D" w:rsidRPr="00CF0039">
        <w:rPr>
          <w:rFonts w:ascii="Times" w:hAnsi="Times"/>
        </w:rPr>
        <w:t>. Indigenous people</w:t>
      </w:r>
      <w:r w:rsidR="00FE1DBD">
        <w:rPr>
          <w:rFonts w:ascii="Times" w:hAnsi="Times"/>
        </w:rPr>
        <w:t>s</w:t>
      </w:r>
      <w:r w:rsidR="00F23A9D" w:rsidRPr="00CF0039">
        <w:rPr>
          <w:rFonts w:ascii="Times" w:hAnsi="Times"/>
        </w:rPr>
        <w:t xml:space="preserve"> are </w:t>
      </w:r>
      <w:r w:rsidR="00F45A84" w:rsidRPr="00CF0039">
        <w:rPr>
          <w:rFonts w:ascii="Times" w:hAnsi="Times"/>
        </w:rPr>
        <w:t>significantly overrepresented across</w:t>
      </w:r>
      <w:r w:rsidR="00F23A9D" w:rsidRPr="00CF0039">
        <w:rPr>
          <w:rFonts w:ascii="Times" w:hAnsi="Times"/>
        </w:rPr>
        <w:t xml:space="preserve"> the Australian criminal justice system, especially in prison</w:t>
      </w:r>
      <w:r w:rsidR="00647F56">
        <w:rPr>
          <w:rFonts w:ascii="Times" w:hAnsi="Times"/>
        </w:rPr>
        <w:t xml:space="preserve"> (see eg Australian Law Reform Commission</w:t>
      </w:r>
      <w:r w:rsidR="00F17E6B">
        <w:rPr>
          <w:rFonts w:ascii="Times" w:hAnsi="Times"/>
        </w:rPr>
        <w:t>, 201</w:t>
      </w:r>
      <w:r w:rsidR="00647F56">
        <w:rPr>
          <w:rFonts w:ascii="Times" w:hAnsi="Times"/>
        </w:rPr>
        <w:t xml:space="preserve">7; Tubex </w:t>
      </w:r>
      <w:r w:rsidR="00F17E6B">
        <w:rPr>
          <w:rFonts w:ascii="Times" w:hAnsi="Times"/>
        </w:rPr>
        <w:t>et al., 201</w:t>
      </w:r>
      <w:r w:rsidR="00647F56">
        <w:rPr>
          <w:rFonts w:ascii="Times" w:hAnsi="Times"/>
        </w:rPr>
        <w:t>5 for discussion). Although Indigenous peoples</w:t>
      </w:r>
      <w:r w:rsidR="00F23A9D" w:rsidRPr="00CF0039">
        <w:rPr>
          <w:rFonts w:ascii="Times" w:hAnsi="Times"/>
        </w:rPr>
        <w:t xml:space="preserve"> </w:t>
      </w:r>
      <w:r w:rsidR="00647F56">
        <w:rPr>
          <w:rFonts w:ascii="Times" w:hAnsi="Times"/>
        </w:rPr>
        <w:t>account for less than three</w:t>
      </w:r>
      <w:r w:rsidR="00D66B5F">
        <w:rPr>
          <w:rFonts w:ascii="Times" w:hAnsi="Times"/>
        </w:rPr>
        <w:t xml:space="preserve"> percent</w:t>
      </w:r>
      <w:r w:rsidR="00F23A9D" w:rsidRPr="00CF0039">
        <w:rPr>
          <w:rFonts w:ascii="Times" w:hAnsi="Times"/>
        </w:rPr>
        <w:t xml:space="preserve"> of the general Australian population</w:t>
      </w:r>
      <w:r w:rsidR="00F3455D">
        <w:rPr>
          <w:rFonts w:ascii="Times" w:hAnsi="Times"/>
        </w:rPr>
        <w:t xml:space="preserve"> (ABS</w:t>
      </w:r>
      <w:r w:rsidR="00F17E6B">
        <w:rPr>
          <w:rFonts w:ascii="Times" w:hAnsi="Times"/>
        </w:rPr>
        <w:t>, 201</w:t>
      </w:r>
      <w:r w:rsidR="00F3455D">
        <w:rPr>
          <w:rFonts w:ascii="Times" w:hAnsi="Times"/>
        </w:rPr>
        <w:t>7a</w:t>
      </w:r>
      <w:r w:rsidR="006E274E">
        <w:rPr>
          <w:rFonts w:ascii="Times" w:hAnsi="Times"/>
        </w:rPr>
        <w:t>)</w:t>
      </w:r>
      <w:r w:rsidR="00F23A9D" w:rsidRPr="00CF0039">
        <w:rPr>
          <w:rFonts w:ascii="Times" w:hAnsi="Times"/>
        </w:rPr>
        <w:t xml:space="preserve">, they </w:t>
      </w:r>
      <w:r w:rsidR="00647F56">
        <w:rPr>
          <w:rFonts w:ascii="Times" w:hAnsi="Times"/>
        </w:rPr>
        <w:t xml:space="preserve">comprise </w:t>
      </w:r>
      <w:r w:rsidR="00F23A9D" w:rsidRPr="00CF0039">
        <w:rPr>
          <w:rFonts w:ascii="Times" w:hAnsi="Times"/>
        </w:rPr>
        <w:t>28</w:t>
      </w:r>
      <w:r w:rsidR="00D66B5F">
        <w:rPr>
          <w:rFonts w:ascii="Times" w:hAnsi="Times"/>
        </w:rPr>
        <w:t xml:space="preserve"> percent</w:t>
      </w:r>
      <w:r w:rsidR="00F23A9D" w:rsidRPr="00CF0039">
        <w:rPr>
          <w:rFonts w:ascii="Times" w:hAnsi="Times"/>
        </w:rPr>
        <w:t xml:space="preserve"> of the adult prison population</w:t>
      </w:r>
      <w:r w:rsidR="00F45A84" w:rsidRPr="00CF0039">
        <w:rPr>
          <w:rFonts w:ascii="Times" w:hAnsi="Times"/>
        </w:rPr>
        <w:t xml:space="preserve"> (</w:t>
      </w:r>
      <w:r w:rsidR="006E274E">
        <w:rPr>
          <w:rFonts w:ascii="Times" w:hAnsi="Times"/>
        </w:rPr>
        <w:t>ABS</w:t>
      </w:r>
      <w:r w:rsidR="00F17E6B">
        <w:rPr>
          <w:rFonts w:ascii="Times" w:hAnsi="Times"/>
        </w:rPr>
        <w:t>, 201</w:t>
      </w:r>
      <w:r w:rsidR="006E274E">
        <w:rPr>
          <w:rFonts w:ascii="Times" w:hAnsi="Times"/>
        </w:rPr>
        <w:t>7b</w:t>
      </w:r>
      <w:r w:rsidR="00F45A84" w:rsidRPr="00CF0039">
        <w:rPr>
          <w:rFonts w:ascii="Times" w:hAnsi="Times"/>
        </w:rPr>
        <w:t>)</w:t>
      </w:r>
      <w:r w:rsidR="006C1C09">
        <w:rPr>
          <w:rFonts w:ascii="Times" w:hAnsi="Times"/>
        </w:rPr>
        <w:t xml:space="preserve">. </w:t>
      </w:r>
      <w:r w:rsidR="006C1C09" w:rsidRPr="0084338A">
        <w:rPr>
          <w:rFonts w:ascii="Times" w:hAnsi="Times"/>
        </w:rPr>
        <w:t xml:space="preserve">With </w:t>
      </w:r>
      <w:r w:rsidR="006C1C09">
        <w:rPr>
          <w:rFonts w:ascii="Times" w:hAnsi="Times"/>
        </w:rPr>
        <w:t>rising</w:t>
      </w:r>
      <w:r w:rsidR="006C1C09" w:rsidRPr="0084338A">
        <w:rPr>
          <w:rFonts w:ascii="Times" w:hAnsi="Times"/>
        </w:rPr>
        <w:t xml:space="preserve"> prisoner numbers</w:t>
      </w:r>
      <w:r w:rsidR="006C1C09">
        <w:rPr>
          <w:rFonts w:ascii="Times" w:hAnsi="Times"/>
        </w:rPr>
        <w:t>,</w:t>
      </w:r>
      <w:r w:rsidR="006C1C09" w:rsidRPr="0084338A">
        <w:rPr>
          <w:rFonts w:ascii="Times" w:hAnsi="Times"/>
        </w:rPr>
        <w:t xml:space="preserve"> the number of persons on parole, or considered to be eligible for parole, is only likely to increase.</w:t>
      </w:r>
    </w:p>
    <w:p w14:paraId="1A006C2F" w14:textId="2E0DFFD9" w:rsidR="009F3D80" w:rsidRPr="00CF0039" w:rsidRDefault="009F3D80" w:rsidP="009F3D80">
      <w:pPr>
        <w:spacing w:after="120" w:line="360" w:lineRule="auto"/>
        <w:rPr>
          <w:rFonts w:ascii="Times" w:hAnsi="Times"/>
        </w:rPr>
      </w:pPr>
      <w:r>
        <w:rPr>
          <w:rFonts w:ascii="Times" w:hAnsi="Times"/>
        </w:rPr>
        <w:t xml:space="preserve">While the evidence suggests that the reasons for the rising imprisonment rates in Australia are multifaceted (Tubex </w:t>
      </w:r>
      <w:r w:rsidR="00F17E6B">
        <w:rPr>
          <w:rFonts w:ascii="Times" w:hAnsi="Times"/>
        </w:rPr>
        <w:t>et al., 201</w:t>
      </w:r>
      <w:r w:rsidRPr="00607DFB">
        <w:rPr>
          <w:rFonts w:ascii="Times" w:hAnsi="Times"/>
        </w:rPr>
        <w:t>5; Weatherburn and Ramsey</w:t>
      </w:r>
      <w:r w:rsidR="00F17E6B">
        <w:rPr>
          <w:rFonts w:ascii="Times" w:hAnsi="Times"/>
        </w:rPr>
        <w:t>, 201</w:t>
      </w:r>
      <w:r w:rsidRPr="00607DFB">
        <w:rPr>
          <w:rFonts w:ascii="Times" w:hAnsi="Times"/>
        </w:rPr>
        <w:t>6</w:t>
      </w:r>
      <w:r>
        <w:rPr>
          <w:rFonts w:ascii="Times" w:hAnsi="Times"/>
        </w:rPr>
        <w:t>), recent crises in a number of parole systems across the country have underpinned rises in several states. These crises have arisen as a result of a handful of high-profile parole violations and the recommendations of subsequent parole system reviews and inquiries. C</w:t>
      </w:r>
      <w:r w:rsidRPr="002B5FC4">
        <w:rPr>
          <w:rFonts w:ascii="Times" w:hAnsi="Times"/>
        </w:rPr>
        <w:t xml:space="preserve">hanges to parole systems </w:t>
      </w:r>
      <w:r w:rsidRPr="00C018BF">
        <w:rPr>
          <w:rFonts w:ascii="Times" w:hAnsi="Times"/>
        </w:rPr>
        <w:t>are often justified on the grounds of a public desire for greater</w:t>
      </w:r>
      <w:r w:rsidRPr="004765BB">
        <w:rPr>
          <w:rFonts w:ascii="Times" w:hAnsi="Times"/>
        </w:rPr>
        <w:t xml:space="preserve"> safety,</w:t>
      </w:r>
      <w:r w:rsidRPr="002B5FC4">
        <w:rPr>
          <w:rFonts w:ascii="Times" w:hAnsi="Times"/>
        </w:rPr>
        <w:t xml:space="preserve"> despite a lack of empirical evidence about how</w:t>
      </w:r>
      <w:r>
        <w:rPr>
          <w:rFonts w:ascii="Times" w:hAnsi="Times"/>
        </w:rPr>
        <w:t xml:space="preserve"> the public sees parole. This phenomenon is not unique to Australia; indeed, as </w:t>
      </w:r>
      <w:r w:rsidRPr="00607DFB">
        <w:rPr>
          <w:rFonts w:ascii="Times" w:hAnsi="Times"/>
        </w:rPr>
        <w:t xml:space="preserve">Roberts </w:t>
      </w:r>
      <w:r w:rsidR="00F17E6B">
        <w:rPr>
          <w:rFonts w:ascii="Times" w:hAnsi="Times"/>
        </w:rPr>
        <w:t>et al.</w:t>
      </w:r>
      <w:r>
        <w:rPr>
          <w:rFonts w:ascii="Times" w:hAnsi="Times"/>
        </w:rPr>
        <w:t xml:space="preserve"> </w:t>
      </w:r>
      <w:r>
        <w:rPr>
          <w:rFonts w:ascii="Times" w:hAnsi="Times"/>
        </w:rPr>
        <w:lastRenderedPageBreak/>
        <w:t>point out, criminal justice policymaking can often occur on the basis of a ‘caricatured understanding of the public’s real views’ (</w:t>
      </w:r>
      <w:r w:rsidR="00607DFB">
        <w:rPr>
          <w:rFonts w:ascii="Times" w:hAnsi="Times"/>
        </w:rPr>
        <w:t>2003</w:t>
      </w:r>
      <w:r>
        <w:rPr>
          <w:rFonts w:ascii="Times" w:hAnsi="Times"/>
        </w:rPr>
        <w:t>: 5).</w:t>
      </w:r>
    </w:p>
    <w:p w14:paraId="4E25D6D6" w14:textId="566FCD34" w:rsidR="00486CB9" w:rsidRPr="00581F33" w:rsidRDefault="0094673F" w:rsidP="00BB43A1">
      <w:pPr>
        <w:spacing w:after="120" w:line="360" w:lineRule="auto"/>
        <w:rPr>
          <w:rFonts w:ascii="Times" w:hAnsi="Times"/>
        </w:rPr>
      </w:pPr>
      <w:r w:rsidRPr="00581F33">
        <w:rPr>
          <w:rFonts w:ascii="Times" w:hAnsi="Times"/>
        </w:rPr>
        <w:t>This paper summarises</w:t>
      </w:r>
      <w:r w:rsidR="00A835ED">
        <w:rPr>
          <w:rFonts w:ascii="Times" w:hAnsi="Times"/>
        </w:rPr>
        <w:t xml:space="preserve"> the </w:t>
      </w:r>
      <w:r w:rsidRPr="00581F33">
        <w:rPr>
          <w:rFonts w:ascii="Times" w:hAnsi="Times"/>
        </w:rPr>
        <w:t xml:space="preserve">findings from a </w:t>
      </w:r>
      <w:r w:rsidR="00F45A84" w:rsidRPr="00581F33">
        <w:rPr>
          <w:rFonts w:ascii="Times" w:hAnsi="Times"/>
        </w:rPr>
        <w:t xml:space="preserve">national </w:t>
      </w:r>
      <w:r w:rsidRPr="00581F33">
        <w:rPr>
          <w:rFonts w:ascii="Times" w:hAnsi="Times"/>
        </w:rPr>
        <w:t>study on public opinion on parole in Australia</w:t>
      </w:r>
      <w:r w:rsidR="00F45A84" w:rsidRPr="00581F33">
        <w:rPr>
          <w:rFonts w:ascii="Times" w:hAnsi="Times"/>
        </w:rPr>
        <w:t>, which represented the first public opinion research in respect of parole</w:t>
      </w:r>
      <w:r w:rsidR="00354C6D">
        <w:rPr>
          <w:rFonts w:ascii="Times" w:hAnsi="Times"/>
        </w:rPr>
        <w:t>, as well as other recent research on public opinion on parole</w:t>
      </w:r>
      <w:r w:rsidR="00F45A84" w:rsidRPr="00581F33">
        <w:rPr>
          <w:rFonts w:ascii="Times" w:hAnsi="Times"/>
        </w:rPr>
        <w:t>. These findings are situated in the context of recent Australian research on public opinion and sentencing. We also provide</w:t>
      </w:r>
      <w:r w:rsidR="00D015EB" w:rsidRPr="00581F33">
        <w:rPr>
          <w:rFonts w:ascii="Times" w:hAnsi="Times"/>
        </w:rPr>
        <w:t xml:space="preserve"> an overview of </w:t>
      </w:r>
      <w:r w:rsidRPr="00581F33">
        <w:rPr>
          <w:rFonts w:ascii="Times" w:hAnsi="Times"/>
        </w:rPr>
        <w:t>the Australian legislative and policy la</w:t>
      </w:r>
      <w:r w:rsidR="00D237AC" w:rsidRPr="00581F33">
        <w:rPr>
          <w:rFonts w:ascii="Times" w:hAnsi="Times"/>
        </w:rPr>
        <w:t>ndscape in respect of parole.</w:t>
      </w:r>
      <w:r w:rsidR="00F45A84" w:rsidRPr="00581F33">
        <w:rPr>
          <w:rFonts w:ascii="Times" w:hAnsi="Times"/>
        </w:rPr>
        <w:t xml:space="preserve"> </w:t>
      </w:r>
      <w:r w:rsidR="00D237AC" w:rsidRPr="00581F33">
        <w:rPr>
          <w:rFonts w:ascii="Times" w:hAnsi="Times"/>
        </w:rPr>
        <w:t>The article</w:t>
      </w:r>
      <w:r w:rsidRPr="00581F33">
        <w:rPr>
          <w:rFonts w:ascii="Times" w:hAnsi="Times"/>
        </w:rPr>
        <w:t xml:space="preserve"> concludes with some comments on</w:t>
      </w:r>
      <w:r w:rsidR="005808FB">
        <w:rPr>
          <w:rFonts w:ascii="Times" w:hAnsi="Times"/>
        </w:rPr>
        <w:t xml:space="preserve"> future directions in research and policy</w:t>
      </w:r>
      <w:r w:rsidRPr="00581F33">
        <w:rPr>
          <w:rFonts w:ascii="Times" w:hAnsi="Times"/>
        </w:rPr>
        <w:t>.</w:t>
      </w:r>
      <w:r w:rsidR="008B60EB">
        <w:rPr>
          <w:rFonts w:ascii="Times" w:hAnsi="Times"/>
        </w:rPr>
        <w:t xml:space="preserve"> </w:t>
      </w:r>
    </w:p>
    <w:p w14:paraId="722778F8" w14:textId="0300E1F1" w:rsidR="002354AF" w:rsidRPr="00C5488C" w:rsidRDefault="0094673F" w:rsidP="002354AF">
      <w:pPr>
        <w:pStyle w:val="Heading1"/>
        <w:rPr>
          <w:color w:val="000000" w:themeColor="text1"/>
        </w:rPr>
      </w:pPr>
      <w:r w:rsidRPr="00C5488C">
        <w:rPr>
          <w:color w:val="000000" w:themeColor="text1"/>
        </w:rPr>
        <w:t xml:space="preserve">Australian </w:t>
      </w:r>
      <w:r w:rsidR="00354C6D" w:rsidRPr="00C5488C">
        <w:rPr>
          <w:color w:val="000000" w:themeColor="text1"/>
        </w:rPr>
        <w:t>public opinion on</w:t>
      </w:r>
      <w:r w:rsidRPr="00C5488C">
        <w:rPr>
          <w:color w:val="000000" w:themeColor="text1"/>
        </w:rPr>
        <w:t xml:space="preserve"> sentencing</w:t>
      </w:r>
    </w:p>
    <w:p w14:paraId="6424D43E" w14:textId="6F7F592D" w:rsidR="00CF0039" w:rsidRPr="002354AF" w:rsidRDefault="00DD1E10" w:rsidP="002354AF">
      <w:pPr>
        <w:pStyle w:val="Heading1"/>
        <w:rPr>
          <w:color w:val="000000" w:themeColor="text1"/>
          <w:sz w:val="24"/>
          <w:szCs w:val="24"/>
        </w:rPr>
      </w:pPr>
      <w:r w:rsidRPr="002354AF">
        <w:rPr>
          <w:rFonts w:ascii="Times" w:hAnsi="Times"/>
          <w:color w:val="000000" w:themeColor="text1"/>
          <w:sz w:val="24"/>
          <w:szCs w:val="24"/>
          <w:shd w:val="clear" w:color="auto" w:fill="FFFFFF"/>
        </w:rPr>
        <w:t xml:space="preserve">Warner </w:t>
      </w:r>
      <w:r w:rsidR="00F17E6B">
        <w:rPr>
          <w:rFonts w:ascii="Times" w:hAnsi="Times"/>
          <w:color w:val="000000" w:themeColor="text1"/>
          <w:sz w:val="24"/>
          <w:szCs w:val="24"/>
          <w:shd w:val="clear" w:color="auto" w:fill="FFFFFF"/>
        </w:rPr>
        <w:t>et al.</w:t>
      </w:r>
      <w:r w:rsidR="00752BD7">
        <w:rPr>
          <w:rFonts w:ascii="Times" w:hAnsi="Times"/>
          <w:color w:val="000000" w:themeColor="text1"/>
          <w:sz w:val="24"/>
          <w:szCs w:val="24"/>
          <w:shd w:val="clear" w:color="auto" w:fill="FFFFFF"/>
        </w:rPr>
        <w:t xml:space="preserve"> (2009)</w:t>
      </w:r>
      <w:r w:rsidRPr="002354AF">
        <w:rPr>
          <w:rFonts w:ascii="Times" w:hAnsi="Times"/>
          <w:color w:val="000000" w:themeColor="text1"/>
          <w:sz w:val="24"/>
          <w:szCs w:val="24"/>
          <w:shd w:val="clear" w:color="auto" w:fill="FFFFFF"/>
        </w:rPr>
        <w:t xml:space="preserve"> suggested that public attitudes to sentencing matter because of the contribution these attitudes make to public confidence in the criminal justice system; because it is generally accepted that sentencing policy and practice should be responsive to public opinion; and because perceptions of public opinion can force changes to the law. </w:t>
      </w:r>
      <w:r w:rsidR="00CF0039" w:rsidRPr="002354AF">
        <w:rPr>
          <w:rFonts w:ascii="Times" w:hAnsi="Times"/>
          <w:color w:val="000000" w:themeColor="text1"/>
          <w:sz w:val="24"/>
          <w:szCs w:val="24"/>
          <w:shd w:val="clear" w:color="auto" w:fill="FFFFFF"/>
        </w:rPr>
        <w:t xml:space="preserve">It is clearly important for policy decisions to be based on accurate perceptions. As </w:t>
      </w:r>
      <w:r w:rsidR="0084338A" w:rsidRPr="002354AF">
        <w:rPr>
          <w:rFonts w:ascii="Times" w:hAnsi="Times" w:cs="Helvetica"/>
          <w:color w:val="000000" w:themeColor="text1"/>
          <w:sz w:val="24"/>
          <w:szCs w:val="24"/>
        </w:rPr>
        <w:t>White and Perrone have noted</w:t>
      </w:r>
      <w:r w:rsidR="00CF0039" w:rsidRPr="002354AF">
        <w:rPr>
          <w:rFonts w:ascii="Times" w:hAnsi="Times" w:cs="Helvetica"/>
          <w:color w:val="000000" w:themeColor="text1"/>
          <w:sz w:val="24"/>
          <w:szCs w:val="24"/>
        </w:rPr>
        <w:t>, however,</w:t>
      </w:r>
    </w:p>
    <w:p w14:paraId="387B1B05" w14:textId="75762576" w:rsidR="0084338A" w:rsidRPr="00CF0039" w:rsidRDefault="00CF0039" w:rsidP="00BB43A1">
      <w:pPr>
        <w:spacing w:after="120" w:line="360" w:lineRule="auto"/>
        <w:ind w:left="360"/>
        <w:rPr>
          <w:rFonts w:ascii="Times" w:hAnsi="Times"/>
        </w:rPr>
      </w:pPr>
      <w:r>
        <w:rPr>
          <w:rFonts w:ascii="Times" w:hAnsi="Times" w:cs="Helvetica"/>
        </w:rPr>
        <w:t>[p]</w:t>
      </w:r>
      <w:r w:rsidR="0084338A" w:rsidRPr="00CF0039">
        <w:rPr>
          <w:rFonts w:ascii="Times" w:hAnsi="Times" w:cs="Helvetica"/>
        </w:rPr>
        <w:t>ublic concerns over sentencing have focused, in particular, on a number of assumptions that generally have little or no basis in empirical reality, and/or fail to take into account the need to balance a number of sentencing objectives. These include perceptions that:</w:t>
      </w:r>
    </w:p>
    <w:p w14:paraId="65C854A6"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The judiciary is out of touch with public concern and has a propensity to being ‘soft on crime’.</w:t>
      </w:r>
    </w:p>
    <w:p w14:paraId="5164493B"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Sentencing outcomes are inconsistent, and thus judicial discretion should be curtailed.</w:t>
      </w:r>
    </w:p>
    <w:p w14:paraId="0F5A4FFA"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Lenient sentences, especially when imposed for ‘serious crimes’, are evidence of inconsistent sentencing practices.</w:t>
      </w:r>
    </w:p>
    <w:p w14:paraId="1A4CB856"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Community safety is enhanced through the use of tougher sentences, especially the use of imprisonment.</w:t>
      </w:r>
    </w:p>
    <w:p w14:paraId="0C487085"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Crime is mostly violent and crime rates are increasing.</w:t>
      </w:r>
    </w:p>
    <w:p w14:paraId="52115769" w14:textId="77777777" w:rsidR="0084338A"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t xml:space="preserve">There are significant discrepancies between the length of sentences imposed by the courts and the period of detention actually served. </w:t>
      </w:r>
    </w:p>
    <w:p w14:paraId="08BAB0A5" w14:textId="753E8F8C" w:rsidR="00D015EB" w:rsidRPr="00CF0039" w:rsidRDefault="0084338A" w:rsidP="00BB43A1">
      <w:pPr>
        <w:pStyle w:val="ListParagraph"/>
        <w:widowControl w:val="0"/>
        <w:numPr>
          <w:ilvl w:val="0"/>
          <w:numId w:val="6"/>
        </w:numPr>
        <w:autoSpaceDE w:val="0"/>
        <w:autoSpaceDN w:val="0"/>
        <w:adjustRightInd w:val="0"/>
        <w:spacing w:after="120" w:line="360" w:lineRule="auto"/>
        <w:rPr>
          <w:rFonts w:ascii="Times" w:hAnsi="Times" w:cs="Helvetica"/>
          <w:lang w:val="en-US"/>
        </w:rPr>
      </w:pPr>
      <w:r w:rsidRPr="00CF0039">
        <w:rPr>
          <w:rFonts w:ascii="Times" w:hAnsi="Times" w:cs="Helvetica"/>
          <w:lang w:val="en-US"/>
        </w:rPr>
        <w:lastRenderedPageBreak/>
        <w:t>Offenders are being release from prison ‘too early’, thus jeopardising community safety’ (2015: 498; references omitted).</w:t>
      </w:r>
    </w:p>
    <w:p w14:paraId="101F75DF" w14:textId="6557AA4D" w:rsidR="00650307" w:rsidRDefault="001F10E7" w:rsidP="00BB43A1">
      <w:pPr>
        <w:spacing w:after="120" w:line="360" w:lineRule="auto"/>
        <w:rPr>
          <w:rFonts w:ascii="Times" w:hAnsi="Times"/>
        </w:rPr>
      </w:pPr>
      <w:r w:rsidRPr="00A73D8C">
        <w:rPr>
          <w:rFonts w:ascii="Times" w:hAnsi="Times"/>
        </w:rPr>
        <w:t>T</w:t>
      </w:r>
      <w:r w:rsidR="00F45A84" w:rsidRPr="00A73D8C">
        <w:rPr>
          <w:rFonts w:ascii="Times" w:hAnsi="Times"/>
        </w:rPr>
        <w:t xml:space="preserve">here has been a proliferation of Australian research </w:t>
      </w:r>
      <w:r w:rsidR="003A0AF5">
        <w:rPr>
          <w:rFonts w:ascii="Times" w:hAnsi="Times"/>
        </w:rPr>
        <w:t>over the last decade on actual –</w:t>
      </w:r>
      <w:r w:rsidR="00F45A84" w:rsidRPr="00A73D8C">
        <w:rPr>
          <w:rFonts w:ascii="Times" w:hAnsi="Times"/>
        </w:rPr>
        <w:t xml:space="preserve"> a</w:t>
      </w:r>
      <w:r w:rsidR="003A0AF5">
        <w:rPr>
          <w:rFonts w:ascii="Times" w:hAnsi="Times"/>
        </w:rPr>
        <w:t>s opposed to presumed –</w:t>
      </w:r>
      <w:r w:rsidR="00F45A84" w:rsidRPr="00A73D8C">
        <w:rPr>
          <w:rFonts w:ascii="Times" w:hAnsi="Times"/>
        </w:rPr>
        <w:t xml:space="preserve"> public opinion on sentencing. </w:t>
      </w:r>
      <w:r w:rsidR="00A73D8C" w:rsidRPr="00A73D8C">
        <w:rPr>
          <w:rFonts w:ascii="Times" w:hAnsi="Times"/>
        </w:rPr>
        <w:t>In t</w:t>
      </w:r>
      <w:r w:rsidR="00650307" w:rsidRPr="00A73D8C">
        <w:rPr>
          <w:rFonts w:ascii="Times" w:hAnsi="Times"/>
        </w:rPr>
        <w:t>he Melbourne Criminology Study</w:t>
      </w:r>
      <w:r w:rsidR="00A73D8C" w:rsidRPr="00A73D8C">
        <w:rPr>
          <w:rFonts w:ascii="Times" w:hAnsi="Times"/>
        </w:rPr>
        <w:t>, Victorian judges presented</w:t>
      </w:r>
      <w:r w:rsidR="00650307" w:rsidRPr="00A73D8C">
        <w:rPr>
          <w:rFonts w:ascii="Times" w:hAnsi="Times"/>
        </w:rPr>
        <w:t xml:space="preserve"> four cases, involving six offenders, to more than 470 members of the public in 32 groups.</w:t>
      </w:r>
      <w:r w:rsidR="00C320F7" w:rsidRPr="00A73D8C">
        <w:rPr>
          <w:rFonts w:ascii="Times" w:hAnsi="Times"/>
        </w:rPr>
        <w:t xml:space="preserve"> In the first session with each group, Lovegrove </w:t>
      </w:r>
      <w:r w:rsidR="00752BD7">
        <w:rPr>
          <w:rFonts w:ascii="Times" w:hAnsi="Times"/>
        </w:rPr>
        <w:t>(2007</w:t>
      </w:r>
      <w:r w:rsidR="00F17E6B">
        <w:rPr>
          <w:rFonts w:ascii="Times" w:hAnsi="Times"/>
        </w:rPr>
        <w:t>, 201</w:t>
      </w:r>
      <w:r w:rsidR="00752BD7">
        <w:rPr>
          <w:rFonts w:ascii="Times" w:hAnsi="Times"/>
        </w:rPr>
        <w:t>1</w:t>
      </w:r>
      <w:r w:rsidR="00F17E6B">
        <w:rPr>
          <w:rFonts w:ascii="Times" w:hAnsi="Times"/>
        </w:rPr>
        <w:t>, 201</w:t>
      </w:r>
      <w:r w:rsidR="00A73D8C" w:rsidRPr="00A73D8C">
        <w:rPr>
          <w:rFonts w:ascii="Times" w:hAnsi="Times"/>
        </w:rPr>
        <w:t xml:space="preserve">3) </w:t>
      </w:r>
      <w:r w:rsidR="00C320F7" w:rsidRPr="00A73D8C">
        <w:rPr>
          <w:rFonts w:ascii="Times" w:hAnsi="Times"/>
        </w:rPr>
        <w:t xml:space="preserve">gave a 70-minute </w:t>
      </w:r>
      <w:r w:rsidR="00791B07" w:rsidRPr="00A73D8C">
        <w:rPr>
          <w:rFonts w:ascii="Times" w:hAnsi="Times"/>
        </w:rPr>
        <w:t>talk on sentencing</w:t>
      </w:r>
      <w:r w:rsidR="00A73D8C" w:rsidRPr="00A73D8C">
        <w:rPr>
          <w:rFonts w:ascii="Times" w:hAnsi="Times"/>
        </w:rPr>
        <w:t>, followed by the</w:t>
      </w:r>
      <w:r w:rsidR="008B60EB" w:rsidRPr="00A73D8C">
        <w:rPr>
          <w:rFonts w:ascii="Times" w:hAnsi="Times"/>
        </w:rPr>
        <w:t xml:space="preserve"> judge making general observations about sentencing and taking questions</w:t>
      </w:r>
      <w:r w:rsidR="00791B07" w:rsidRPr="00A73D8C">
        <w:rPr>
          <w:rFonts w:ascii="Times" w:hAnsi="Times"/>
        </w:rPr>
        <w:t>.</w:t>
      </w:r>
      <w:r w:rsidR="008B60EB" w:rsidRPr="00A73D8C">
        <w:rPr>
          <w:rFonts w:ascii="Times" w:hAnsi="Times"/>
        </w:rPr>
        <w:t xml:space="preserve"> In a subsequent session, the judge provided an edited version of his sentencing judgment, as well as information about the legislative maximum for the offence(s) and sentencing practices. The participants then wrote down what they considered to be the appropriate sentence for the offence</w:t>
      </w:r>
      <w:r w:rsidR="008403A7">
        <w:rPr>
          <w:rFonts w:ascii="Times" w:hAnsi="Times"/>
        </w:rPr>
        <w:t xml:space="preserve">, before being </w:t>
      </w:r>
      <w:r w:rsidR="008403A7" w:rsidRPr="0069498F">
        <w:rPr>
          <w:rFonts w:ascii="Times" w:hAnsi="Times"/>
        </w:rPr>
        <w:t>provided with the actual sentence imposed by the judge</w:t>
      </w:r>
      <w:r w:rsidR="008B60EB" w:rsidRPr="0069498F">
        <w:rPr>
          <w:rFonts w:ascii="Times" w:hAnsi="Times"/>
        </w:rPr>
        <w:t>.</w:t>
      </w:r>
      <w:r w:rsidR="00A73D8C" w:rsidRPr="0069498F">
        <w:rPr>
          <w:rFonts w:ascii="Times" w:hAnsi="Times"/>
        </w:rPr>
        <w:t xml:space="preserve"> Lovegrove </w:t>
      </w:r>
      <w:r w:rsidR="0069498F" w:rsidRPr="0069498F">
        <w:rPr>
          <w:rFonts w:ascii="Times" w:hAnsi="Times"/>
        </w:rPr>
        <w:t xml:space="preserve">(2007) </w:t>
      </w:r>
      <w:r w:rsidR="00A73D8C" w:rsidRPr="0069498F">
        <w:rPr>
          <w:rFonts w:ascii="Times" w:hAnsi="Times"/>
        </w:rPr>
        <w:t>found that</w:t>
      </w:r>
      <w:r w:rsidR="008403A7" w:rsidRPr="0069498F">
        <w:rPr>
          <w:rFonts w:ascii="Times" w:hAnsi="Times"/>
        </w:rPr>
        <w:t xml:space="preserve"> </w:t>
      </w:r>
      <w:r w:rsidR="00916404">
        <w:rPr>
          <w:rFonts w:ascii="Times" w:hAnsi="Times"/>
        </w:rPr>
        <w:t xml:space="preserve">although respondents described judicial sentencing as ‘too soft’, the </w:t>
      </w:r>
      <w:r w:rsidR="003E5B5C">
        <w:rPr>
          <w:rFonts w:ascii="Times" w:hAnsi="Times"/>
        </w:rPr>
        <w:t xml:space="preserve">median </w:t>
      </w:r>
      <w:r w:rsidR="00916404">
        <w:rPr>
          <w:rFonts w:ascii="Times" w:hAnsi="Times"/>
        </w:rPr>
        <w:t xml:space="preserve">sentences they imposed were more lenient than those imposed by the judges </w:t>
      </w:r>
      <w:r w:rsidR="008403A7" w:rsidRPr="0069498F">
        <w:rPr>
          <w:rFonts w:ascii="Times" w:hAnsi="Times"/>
        </w:rPr>
        <w:t>for three</w:t>
      </w:r>
      <w:r w:rsidR="00916404">
        <w:rPr>
          <w:rFonts w:ascii="Times" w:hAnsi="Times"/>
        </w:rPr>
        <w:t xml:space="preserve"> of the four male offenders</w:t>
      </w:r>
      <w:r w:rsidR="0069498F">
        <w:rPr>
          <w:rFonts w:ascii="Times" w:hAnsi="Times"/>
        </w:rPr>
        <w:t>, while the judge’s sentence was marginally lower in the remaining case. In the two cases involving female offenders,</w:t>
      </w:r>
      <w:r w:rsidR="00A73D8C">
        <w:rPr>
          <w:rFonts w:ascii="Times" w:hAnsi="Times"/>
        </w:rPr>
        <w:t xml:space="preserve"> </w:t>
      </w:r>
      <w:r w:rsidR="003E5B5C">
        <w:rPr>
          <w:rFonts w:ascii="Times" w:hAnsi="Times"/>
        </w:rPr>
        <w:t xml:space="preserve">the participants imposed the same sentence type, but a lower median fine level in one case. </w:t>
      </w:r>
      <w:r w:rsidR="00895666">
        <w:rPr>
          <w:rFonts w:ascii="Times" w:hAnsi="Times"/>
        </w:rPr>
        <w:t xml:space="preserve">In </w:t>
      </w:r>
      <w:r w:rsidR="00C232C8">
        <w:rPr>
          <w:rFonts w:ascii="Times" w:hAnsi="Times"/>
        </w:rPr>
        <w:t>subsequent research</w:t>
      </w:r>
      <w:r w:rsidR="00895666">
        <w:rPr>
          <w:rFonts w:ascii="Times" w:hAnsi="Times"/>
        </w:rPr>
        <w:t>, Lovegrove explored participants’ views on relevant mitigating factors</w:t>
      </w:r>
      <w:r w:rsidR="00C232C8">
        <w:rPr>
          <w:rFonts w:ascii="Times" w:hAnsi="Times"/>
        </w:rPr>
        <w:t xml:space="preserve"> (2011) and the theoretical explanations for these views (2013)</w:t>
      </w:r>
      <w:r w:rsidR="00895666">
        <w:rPr>
          <w:rFonts w:ascii="Times" w:hAnsi="Times"/>
        </w:rPr>
        <w:t>.</w:t>
      </w:r>
    </w:p>
    <w:p w14:paraId="04A0FA85" w14:textId="2AB85C22" w:rsidR="007E25EA" w:rsidRDefault="00650307" w:rsidP="00BB43A1">
      <w:pPr>
        <w:spacing w:after="120" w:line="360" w:lineRule="auto"/>
        <w:rPr>
          <w:rFonts w:ascii="Times" w:hAnsi="Times" w:cs="Arial"/>
          <w:color w:val="000000" w:themeColor="text1"/>
        </w:rPr>
      </w:pPr>
      <w:r>
        <w:rPr>
          <w:rFonts w:ascii="Times" w:hAnsi="Times"/>
          <w:color w:val="000000" w:themeColor="text1"/>
        </w:rPr>
        <w:t>In another</w:t>
      </w:r>
      <w:r w:rsidR="00364B2F" w:rsidRPr="00650307">
        <w:rPr>
          <w:rFonts w:ascii="Times" w:hAnsi="Times"/>
          <w:color w:val="000000" w:themeColor="text1"/>
        </w:rPr>
        <w:t xml:space="preserve"> major project</w:t>
      </w:r>
      <w:r w:rsidR="00434C60">
        <w:rPr>
          <w:rFonts w:ascii="Times" w:hAnsi="Times"/>
          <w:color w:val="000000" w:themeColor="text1"/>
        </w:rPr>
        <w:t xml:space="preserve"> (the National Sentencing Study</w:t>
      </w:r>
      <w:r w:rsidR="007E25EA" w:rsidRPr="00650307">
        <w:rPr>
          <w:rFonts w:ascii="Times" w:hAnsi="Times"/>
          <w:color w:val="000000" w:themeColor="text1"/>
        </w:rPr>
        <w:t>)</w:t>
      </w:r>
      <w:r w:rsidR="00364B2F" w:rsidRPr="00650307">
        <w:rPr>
          <w:rFonts w:ascii="Times" w:hAnsi="Times"/>
          <w:color w:val="000000" w:themeColor="text1"/>
        </w:rPr>
        <w:t>, a</w:t>
      </w:r>
      <w:r w:rsidR="0084338A" w:rsidRPr="00650307">
        <w:rPr>
          <w:rFonts w:ascii="Times" w:hAnsi="Times"/>
          <w:color w:val="000000" w:themeColor="text1"/>
        </w:rPr>
        <w:t xml:space="preserve"> telephone </w:t>
      </w:r>
      <w:r w:rsidR="0084338A" w:rsidRPr="00650307">
        <w:rPr>
          <w:rFonts w:ascii="Times" w:hAnsi="Times" w:cs="Arial"/>
          <w:color w:val="000000" w:themeColor="text1"/>
        </w:rPr>
        <w:t xml:space="preserve">survey with 6005 people across Australia </w:t>
      </w:r>
      <w:r w:rsidR="008753AF" w:rsidRPr="00CF0039">
        <w:rPr>
          <w:rFonts w:ascii="Times" w:hAnsi="Times" w:cs="OpenSans"/>
        </w:rPr>
        <w:t xml:space="preserve">found that most </w:t>
      </w:r>
      <w:r w:rsidR="008753AF" w:rsidRPr="00CF0039">
        <w:rPr>
          <w:rFonts w:ascii="Times" w:hAnsi="Times" w:cs="Arial"/>
          <w:color w:val="131313"/>
        </w:rPr>
        <w:t xml:space="preserve">respondents expressed high levels of punitiveness and were dissatisfied with sentences imposed by the courts. </w:t>
      </w:r>
      <w:r w:rsidR="00C36237">
        <w:rPr>
          <w:rFonts w:ascii="Times" w:hAnsi="Times" w:cs="Arial"/>
          <w:color w:val="131313"/>
        </w:rPr>
        <w:t>This is consistent with other ‘</w:t>
      </w:r>
      <w:r w:rsidR="006E79D3">
        <w:rPr>
          <w:rFonts w:ascii="Times" w:hAnsi="Times" w:cs="Arial"/>
          <w:color w:val="131313"/>
        </w:rPr>
        <w:t>top-of-the-</w:t>
      </w:r>
      <w:r w:rsidR="00C36237">
        <w:rPr>
          <w:rFonts w:ascii="Times" w:hAnsi="Times" w:cs="Arial"/>
          <w:color w:val="131313"/>
        </w:rPr>
        <w:t xml:space="preserve">head’ </w:t>
      </w:r>
      <w:r w:rsidR="006E79D3">
        <w:rPr>
          <w:rFonts w:ascii="Times" w:hAnsi="Times" w:cs="Arial"/>
          <w:color w:val="131313"/>
        </w:rPr>
        <w:t>findings (see Gelb</w:t>
      </w:r>
      <w:r w:rsidR="00F17E6B">
        <w:rPr>
          <w:rFonts w:ascii="Times" w:hAnsi="Times" w:cs="Arial"/>
          <w:color w:val="131313"/>
        </w:rPr>
        <w:t>, 200</w:t>
      </w:r>
      <w:r w:rsidR="006E79D3">
        <w:rPr>
          <w:rFonts w:ascii="Times" w:hAnsi="Times" w:cs="Arial"/>
          <w:color w:val="131313"/>
        </w:rPr>
        <w:t xml:space="preserve">6 for discussion). </w:t>
      </w:r>
      <w:r w:rsidR="008753AF">
        <w:rPr>
          <w:rFonts w:ascii="Times" w:hAnsi="Times" w:cs="Arial"/>
          <w:color w:val="131313"/>
        </w:rPr>
        <w:t xml:space="preserve">Notably, </w:t>
      </w:r>
      <w:r w:rsidR="006E79D3">
        <w:rPr>
          <w:rFonts w:ascii="Times" w:hAnsi="Times" w:cs="Arial"/>
          <w:color w:val="131313"/>
        </w:rPr>
        <w:t xml:space="preserve">Mackenzie </w:t>
      </w:r>
      <w:r w:rsidR="00F17E6B">
        <w:rPr>
          <w:rFonts w:ascii="Times" w:hAnsi="Times" w:cs="Arial"/>
          <w:color w:val="131313"/>
        </w:rPr>
        <w:t>et al.</w:t>
      </w:r>
      <w:r w:rsidR="006E79D3">
        <w:rPr>
          <w:rFonts w:ascii="Times" w:hAnsi="Times" w:cs="Arial"/>
          <w:color w:val="131313"/>
        </w:rPr>
        <w:t xml:space="preserve"> (2012) found that </w:t>
      </w:r>
      <w:r w:rsidR="008753AF">
        <w:rPr>
          <w:rFonts w:ascii="Times" w:hAnsi="Times" w:cs="Arial"/>
          <w:color w:val="131313"/>
        </w:rPr>
        <w:t xml:space="preserve">59 percent of respondents </w:t>
      </w:r>
      <w:r w:rsidR="006E79D3">
        <w:rPr>
          <w:rFonts w:ascii="Times" w:hAnsi="Times" w:cs="Arial"/>
          <w:color w:val="131313"/>
        </w:rPr>
        <w:t>felt</w:t>
      </w:r>
      <w:r w:rsidR="008753AF">
        <w:rPr>
          <w:rFonts w:ascii="Times" w:hAnsi="Times" w:cs="Arial"/>
          <w:color w:val="131313"/>
        </w:rPr>
        <w:t xml:space="preserve"> that the sentences handed down by courts were too lenient. Respondents were </w:t>
      </w:r>
      <w:r w:rsidR="005808FB">
        <w:rPr>
          <w:rFonts w:ascii="Times" w:hAnsi="Times" w:cs="Arial"/>
          <w:color w:val="131313"/>
        </w:rPr>
        <w:t>more</w:t>
      </w:r>
      <w:r w:rsidR="008753AF">
        <w:rPr>
          <w:rFonts w:ascii="Times" w:hAnsi="Times" w:cs="Arial"/>
          <w:color w:val="131313"/>
        </w:rPr>
        <w:t xml:space="preserve"> likely to say sentences were too lenient for violent crimes (79 percent) than for non-violent property crimes (61 percent) or non-violent drug offences (51 percent). However,</w:t>
      </w:r>
      <w:r w:rsidR="008753AF" w:rsidRPr="00CF0039">
        <w:rPr>
          <w:rFonts w:ascii="Times" w:hAnsi="Times" w:cs="Arial"/>
          <w:color w:val="131313"/>
        </w:rPr>
        <w:t xml:space="preserve"> many were </w:t>
      </w:r>
      <w:r w:rsidR="008753AF">
        <w:rPr>
          <w:rFonts w:ascii="Times" w:hAnsi="Times" w:cs="Arial"/>
          <w:color w:val="131313"/>
        </w:rPr>
        <w:t xml:space="preserve">also </w:t>
      </w:r>
      <w:r w:rsidR="008753AF" w:rsidRPr="00CF0039">
        <w:rPr>
          <w:rFonts w:ascii="Times" w:hAnsi="Times" w:cs="Arial"/>
          <w:color w:val="131313"/>
        </w:rPr>
        <w:t xml:space="preserve">supportive of the use of alternatives to imprisonment for a range of offences. </w:t>
      </w:r>
      <w:r w:rsidR="008753AF" w:rsidRPr="00CF0039">
        <w:rPr>
          <w:rFonts w:ascii="Times" w:hAnsi="Times"/>
        </w:rPr>
        <w:t>For example, 82</w:t>
      </w:r>
      <w:r w:rsidR="008753AF">
        <w:rPr>
          <w:rFonts w:ascii="Times" w:hAnsi="Times"/>
        </w:rPr>
        <w:t xml:space="preserve"> percent</w:t>
      </w:r>
      <w:r w:rsidR="008753AF" w:rsidRPr="00CF0039">
        <w:rPr>
          <w:rFonts w:ascii="Times" w:hAnsi="Times"/>
        </w:rPr>
        <w:t xml:space="preserve"> supported the use of </w:t>
      </w:r>
      <w:r w:rsidR="00727D3A">
        <w:rPr>
          <w:rFonts w:ascii="Times" w:hAnsi="Times"/>
          <w:color w:val="000000" w:themeColor="text1"/>
        </w:rPr>
        <w:t>alternatives to prison for</w:t>
      </w:r>
      <w:r w:rsidR="008753AF" w:rsidRPr="008753AF">
        <w:rPr>
          <w:rFonts w:ascii="Times" w:hAnsi="Times"/>
          <w:color w:val="000000" w:themeColor="text1"/>
        </w:rPr>
        <w:t xml:space="preserve"> mentally ill</w:t>
      </w:r>
      <w:r w:rsidR="00727D3A">
        <w:rPr>
          <w:rFonts w:ascii="Times" w:hAnsi="Times"/>
          <w:color w:val="000000" w:themeColor="text1"/>
        </w:rPr>
        <w:t xml:space="preserve"> offenders, while 80 and 66 percent respectively supported the use of alternatives for young and drug-addicted offenders. In addition, 55 percent agreed that </w:t>
      </w:r>
      <w:r w:rsidR="00727D3A">
        <w:rPr>
          <w:rFonts w:ascii="Times" w:hAnsi="Times"/>
          <w:color w:val="000000" w:themeColor="text1"/>
        </w:rPr>
        <w:lastRenderedPageBreak/>
        <w:t>fewer prison sentences should be given to non-violent offenders</w:t>
      </w:r>
      <w:r w:rsidR="008753AF" w:rsidRPr="008753AF">
        <w:rPr>
          <w:rFonts w:ascii="Times" w:hAnsi="Times"/>
          <w:color w:val="000000" w:themeColor="text1"/>
        </w:rPr>
        <w:t xml:space="preserve"> (Mackenzie </w:t>
      </w:r>
      <w:r w:rsidR="00F17E6B">
        <w:rPr>
          <w:rFonts w:ascii="Times" w:hAnsi="Times"/>
          <w:color w:val="000000" w:themeColor="text1"/>
        </w:rPr>
        <w:t>et al., 201</w:t>
      </w:r>
      <w:r w:rsidR="008753AF" w:rsidRPr="008753AF">
        <w:rPr>
          <w:rFonts w:ascii="Times" w:hAnsi="Times"/>
          <w:color w:val="000000" w:themeColor="text1"/>
        </w:rPr>
        <w:t>2).</w:t>
      </w:r>
      <w:r w:rsidR="008753AF" w:rsidRPr="008753AF">
        <w:rPr>
          <w:rStyle w:val="FootnoteReference"/>
          <w:rFonts w:ascii="Times" w:hAnsi="Times"/>
          <w:color w:val="000000" w:themeColor="text1"/>
        </w:rPr>
        <w:footnoteReference w:id="1"/>
      </w:r>
      <w:r w:rsidR="008753AF" w:rsidRPr="008753AF">
        <w:rPr>
          <w:rFonts w:ascii="Times" w:hAnsi="Times" w:cs="Arial"/>
          <w:color w:val="000000" w:themeColor="text1"/>
        </w:rPr>
        <w:t xml:space="preserve"> </w:t>
      </w:r>
    </w:p>
    <w:p w14:paraId="2675E204" w14:textId="7935D467" w:rsidR="007E25EA" w:rsidRPr="00960ACB" w:rsidRDefault="008753AF" w:rsidP="00BB43A1">
      <w:pPr>
        <w:spacing w:after="120" w:line="360" w:lineRule="auto"/>
        <w:rPr>
          <w:rFonts w:ascii="Times" w:hAnsi="Times" w:cs="Arial"/>
          <w:color w:val="000000" w:themeColor="text1"/>
        </w:rPr>
      </w:pPr>
      <w:r w:rsidRPr="008753AF">
        <w:rPr>
          <w:rFonts w:ascii="Times" w:hAnsi="Times" w:cs="Arial"/>
          <w:color w:val="000000" w:themeColor="text1"/>
        </w:rPr>
        <w:t xml:space="preserve">Analysis by jurisdiction </w:t>
      </w:r>
      <w:r w:rsidR="0084338A" w:rsidRPr="008753AF">
        <w:rPr>
          <w:rFonts w:ascii="Times" w:hAnsi="Times" w:cs="Arial"/>
          <w:color w:val="000000" w:themeColor="text1"/>
        </w:rPr>
        <w:t>found that there were only minor differences in the key measures of public att</w:t>
      </w:r>
      <w:r w:rsidR="00874E57">
        <w:rPr>
          <w:rFonts w:ascii="Times" w:hAnsi="Times" w:cs="Arial"/>
          <w:color w:val="000000" w:themeColor="text1"/>
        </w:rPr>
        <w:t>itude despite the notable inter</w:t>
      </w:r>
      <w:r w:rsidR="0084338A" w:rsidRPr="008753AF">
        <w:rPr>
          <w:rFonts w:ascii="Times" w:hAnsi="Times" w:cs="Arial"/>
          <w:color w:val="000000" w:themeColor="text1"/>
        </w:rPr>
        <w:t>jurisdictional differences in relation to sentencing policy</w:t>
      </w:r>
      <w:r w:rsidR="00CF0039" w:rsidRPr="008753AF">
        <w:rPr>
          <w:rFonts w:ascii="Times" w:hAnsi="Times" w:cs="Arial"/>
          <w:color w:val="000000" w:themeColor="text1"/>
        </w:rPr>
        <w:t xml:space="preserve"> (Roberts, Spiranovic and Indermaur</w:t>
      </w:r>
      <w:r w:rsidR="00F17E6B">
        <w:rPr>
          <w:rFonts w:ascii="Times" w:hAnsi="Times" w:cs="Arial"/>
          <w:color w:val="000000" w:themeColor="text1"/>
        </w:rPr>
        <w:t>, 201</w:t>
      </w:r>
      <w:r w:rsidR="00CF0039" w:rsidRPr="008753AF">
        <w:rPr>
          <w:rFonts w:ascii="Times" w:hAnsi="Times" w:cs="Arial"/>
          <w:color w:val="000000" w:themeColor="text1"/>
        </w:rPr>
        <w:t>1)</w:t>
      </w:r>
      <w:r w:rsidR="0084338A" w:rsidRPr="008753AF">
        <w:rPr>
          <w:rFonts w:ascii="Times" w:hAnsi="Times" w:cs="Arial"/>
          <w:color w:val="000000" w:themeColor="text1"/>
        </w:rPr>
        <w:t>. Differences in public attitudes across jurisdi</w:t>
      </w:r>
      <w:r w:rsidR="00374784">
        <w:rPr>
          <w:rFonts w:ascii="Times" w:hAnsi="Times" w:cs="Arial"/>
          <w:color w:val="000000" w:themeColor="text1"/>
        </w:rPr>
        <w:t>ctions accounted for less than two</w:t>
      </w:r>
      <w:r w:rsidR="00D66B5F" w:rsidRPr="008753AF">
        <w:rPr>
          <w:rFonts w:ascii="Times" w:hAnsi="Times" w:cs="Arial"/>
          <w:color w:val="000000" w:themeColor="text1"/>
        </w:rPr>
        <w:t xml:space="preserve"> percent</w:t>
      </w:r>
      <w:r w:rsidR="0084338A" w:rsidRPr="008753AF">
        <w:rPr>
          <w:rFonts w:ascii="Times" w:hAnsi="Times" w:cs="Arial"/>
          <w:color w:val="000000" w:themeColor="text1"/>
        </w:rPr>
        <w:t xml:space="preserve"> of variation in confidence in sentencing and punitive attitudes scores. In addition, lack of confidence in sentencing and punitiveness were not related in any systematic way to jurisdictional differences in imprisonment rates. </w:t>
      </w:r>
      <w:r w:rsidR="0031259A" w:rsidRPr="008753AF">
        <w:rPr>
          <w:rFonts w:ascii="Times" w:hAnsi="Times" w:cs="Arial"/>
          <w:color w:val="000000" w:themeColor="text1"/>
        </w:rPr>
        <w:t xml:space="preserve">It follows from these findings </w:t>
      </w:r>
      <w:r w:rsidR="0084338A" w:rsidRPr="008753AF">
        <w:rPr>
          <w:rFonts w:ascii="Times" w:hAnsi="Times" w:cs="Arial"/>
          <w:color w:val="000000" w:themeColor="text1"/>
        </w:rPr>
        <w:t>that the wide differences in sentencing practice and policy between jurisdictions in Australia are not linked to differences in publ</w:t>
      </w:r>
      <w:r w:rsidR="00AE697E">
        <w:rPr>
          <w:rFonts w:ascii="Times" w:hAnsi="Times" w:cs="Arial"/>
          <w:color w:val="000000" w:themeColor="text1"/>
        </w:rPr>
        <w:t>ic attitudes. This</w:t>
      </w:r>
      <w:r w:rsidR="0084338A" w:rsidRPr="008753AF">
        <w:rPr>
          <w:rFonts w:ascii="Times" w:hAnsi="Times" w:cs="Arial"/>
          <w:color w:val="000000" w:themeColor="text1"/>
        </w:rPr>
        <w:t xml:space="preserve"> suggests that sentencing policy is better understood as a function of political initiative</w:t>
      </w:r>
      <w:r w:rsidR="00AE697E">
        <w:rPr>
          <w:rFonts w:ascii="Times" w:hAnsi="Times" w:cs="Arial"/>
          <w:color w:val="000000" w:themeColor="text1"/>
        </w:rPr>
        <w:t>,</w:t>
      </w:r>
      <w:r w:rsidR="0084338A" w:rsidRPr="008753AF">
        <w:rPr>
          <w:rFonts w:ascii="Times" w:hAnsi="Times" w:cs="Arial"/>
          <w:color w:val="000000" w:themeColor="text1"/>
        </w:rPr>
        <w:t xml:space="preserve"> rather than a direct articulation of public attitude. </w:t>
      </w:r>
    </w:p>
    <w:p w14:paraId="6DEB729F" w14:textId="3E171669" w:rsidR="005D3B69" w:rsidRPr="00960ACB" w:rsidRDefault="0084338A" w:rsidP="00BB43A1">
      <w:pPr>
        <w:spacing w:after="120" w:line="360" w:lineRule="auto"/>
        <w:rPr>
          <w:rFonts w:ascii="GillSansStd" w:hAnsi="GillSansStd"/>
          <w:sz w:val="20"/>
          <w:szCs w:val="20"/>
        </w:rPr>
      </w:pPr>
      <w:r w:rsidRPr="00CF0039">
        <w:rPr>
          <w:rFonts w:ascii="Times" w:hAnsi="Times"/>
        </w:rPr>
        <w:t xml:space="preserve">The Victorian Sentencing Advisory Council (VSAC) undertook additional research </w:t>
      </w:r>
      <w:r w:rsidR="00D16407">
        <w:rPr>
          <w:rFonts w:ascii="Times" w:hAnsi="Times"/>
        </w:rPr>
        <w:t xml:space="preserve">on the </w:t>
      </w:r>
      <w:r w:rsidR="007E25EA">
        <w:rPr>
          <w:rFonts w:ascii="Times" w:hAnsi="Times"/>
        </w:rPr>
        <w:t>National Sentencing Study</w:t>
      </w:r>
      <w:r w:rsidR="008753AF">
        <w:rPr>
          <w:rFonts w:ascii="Times" w:hAnsi="Times"/>
        </w:rPr>
        <w:t xml:space="preserve"> </w:t>
      </w:r>
      <w:r w:rsidRPr="00CF0039">
        <w:rPr>
          <w:rFonts w:ascii="Times" w:hAnsi="Times"/>
        </w:rPr>
        <w:t xml:space="preserve">with </w:t>
      </w:r>
      <w:r w:rsidR="006325D0">
        <w:rPr>
          <w:rFonts w:ascii="Times" w:hAnsi="Times"/>
        </w:rPr>
        <w:t>1</w:t>
      </w:r>
      <w:r w:rsidR="007C306D">
        <w:rPr>
          <w:rFonts w:ascii="Times" w:hAnsi="Times"/>
        </w:rPr>
        <w:t>2</w:t>
      </w:r>
      <w:r w:rsidR="007E25EA">
        <w:rPr>
          <w:rFonts w:ascii="Times" w:hAnsi="Times"/>
        </w:rPr>
        <w:t xml:space="preserve">00 </w:t>
      </w:r>
      <w:r w:rsidRPr="00CF0039">
        <w:rPr>
          <w:rFonts w:ascii="Times" w:hAnsi="Times"/>
        </w:rPr>
        <w:t>Victorian residents. This revealed that there was clear support for using alternatives to prison as a way of addressing the increasing number of people in prison and the subsequent prison overcrowding</w:t>
      </w:r>
      <w:r w:rsidR="00D16407">
        <w:rPr>
          <w:rFonts w:ascii="Times" w:hAnsi="Times"/>
        </w:rPr>
        <w:t xml:space="preserve"> (Gelb</w:t>
      </w:r>
      <w:r w:rsidR="00F17E6B">
        <w:rPr>
          <w:rFonts w:ascii="Times" w:hAnsi="Times"/>
        </w:rPr>
        <w:t>, 201</w:t>
      </w:r>
      <w:r w:rsidR="00D16407">
        <w:rPr>
          <w:rFonts w:ascii="Times" w:hAnsi="Times"/>
        </w:rPr>
        <w:t>1a)</w:t>
      </w:r>
      <w:r w:rsidRPr="00CF0039">
        <w:rPr>
          <w:rFonts w:ascii="Times" w:hAnsi="Times"/>
        </w:rPr>
        <w:t>. Specifically, 51</w:t>
      </w:r>
      <w:r w:rsidR="00D66B5F">
        <w:rPr>
          <w:rFonts w:ascii="Times" w:hAnsi="Times"/>
        </w:rPr>
        <w:t xml:space="preserve"> percent</w:t>
      </w:r>
      <w:r w:rsidRPr="00CF0039">
        <w:rPr>
          <w:rFonts w:ascii="Times" w:hAnsi="Times"/>
        </w:rPr>
        <w:t xml:space="preserve"> of respondents believed that ‘we need to find alternatives to prison to reduce the high cost to the community of keeping people in prison’ was ‘very important’, while 69</w:t>
      </w:r>
      <w:r w:rsidR="00D66B5F">
        <w:rPr>
          <w:rFonts w:ascii="Times" w:hAnsi="Times"/>
        </w:rPr>
        <w:t xml:space="preserve"> percent</w:t>
      </w:r>
      <w:r w:rsidRPr="00CF0039">
        <w:rPr>
          <w:rFonts w:ascii="Times" w:hAnsi="Times"/>
        </w:rPr>
        <w:t xml:space="preserve"> said it was ‘very important’ that ‘taxpayer money </w:t>
      </w:r>
      <w:r w:rsidRPr="005D3B69">
        <w:rPr>
          <w:rFonts w:ascii="Times" w:hAnsi="Times"/>
        </w:rPr>
        <w:t>should be used on programs that reduce crime in the first place rather than on prison’. Perhaps most surprisingly, 76</w:t>
      </w:r>
      <w:r w:rsidR="00D66B5F" w:rsidRPr="005D3B69">
        <w:rPr>
          <w:rFonts w:ascii="Times" w:hAnsi="Times"/>
        </w:rPr>
        <w:t xml:space="preserve"> percent</w:t>
      </w:r>
      <w:r w:rsidRPr="005D3B69">
        <w:rPr>
          <w:rFonts w:ascii="Times" w:hAnsi="Times"/>
        </w:rPr>
        <w:t xml:space="preserve"> said that the argument ‘prisons should be used mainly for dangerous and violent offenders’ was very important in relation to prison overcrowding.</w:t>
      </w:r>
      <w:r w:rsidR="00D16407" w:rsidRPr="005D3B69">
        <w:rPr>
          <w:rFonts w:ascii="Times" w:hAnsi="Times"/>
        </w:rPr>
        <w:t xml:space="preserve"> </w:t>
      </w:r>
      <w:r w:rsidR="007B77D7" w:rsidRPr="005D3B69">
        <w:rPr>
          <w:rFonts w:ascii="Times" w:hAnsi="Times"/>
        </w:rPr>
        <w:t xml:space="preserve">When </w:t>
      </w:r>
      <w:r w:rsidR="007B77D7" w:rsidRPr="007B77D7">
        <w:rPr>
          <w:rFonts w:ascii="Times" w:hAnsi="Times"/>
        </w:rPr>
        <w:t>respondents were faced w</w:t>
      </w:r>
      <w:r w:rsidR="007B77D7" w:rsidRPr="005D3B69">
        <w:rPr>
          <w:rFonts w:ascii="Times" w:hAnsi="Times"/>
        </w:rPr>
        <w:t>ith a forced choice between two approaches, 74 percent favoured ‘increasing the use of alternatives to imprisonment’ as their final choice, while 26 percent chose to ‘build more prisons’.</w:t>
      </w:r>
      <w:r w:rsidR="007B77D7" w:rsidRPr="007B77D7">
        <w:rPr>
          <w:rFonts w:ascii="Times" w:hAnsi="Times"/>
        </w:rPr>
        <w:t xml:space="preserve"> </w:t>
      </w:r>
      <w:r w:rsidR="007B77D7" w:rsidRPr="005D3B69">
        <w:rPr>
          <w:rFonts w:ascii="Times" w:hAnsi="Times"/>
        </w:rPr>
        <w:t>Alternatives to prison were most supported for offenders who were mentally ill (92</w:t>
      </w:r>
      <w:r w:rsidR="002E4EB9">
        <w:rPr>
          <w:rFonts w:ascii="Times" w:hAnsi="Times"/>
        </w:rPr>
        <w:t xml:space="preserve"> percent</w:t>
      </w:r>
      <w:r w:rsidR="007B77D7" w:rsidRPr="005D3B69">
        <w:rPr>
          <w:rFonts w:ascii="Times" w:hAnsi="Times"/>
        </w:rPr>
        <w:t>), young (88</w:t>
      </w:r>
      <w:r w:rsidR="002E4EB9">
        <w:rPr>
          <w:rFonts w:ascii="Times" w:hAnsi="Times"/>
        </w:rPr>
        <w:t xml:space="preserve"> percent</w:t>
      </w:r>
      <w:r w:rsidR="007B77D7" w:rsidRPr="005D3B69">
        <w:rPr>
          <w:rFonts w:ascii="Times" w:hAnsi="Times"/>
        </w:rPr>
        <w:t>), drug-addicted (84</w:t>
      </w:r>
      <w:r w:rsidR="002E4EB9">
        <w:rPr>
          <w:rFonts w:ascii="Times" w:hAnsi="Times"/>
        </w:rPr>
        <w:t xml:space="preserve"> percent</w:t>
      </w:r>
      <w:r w:rsidR="007B77D7" w:rsidRPr="005D3B69">
        <w:rPr>
          <w:rFonts w:ascii="Times" w:hAnsi="Times"/>
        </w:rPr>
        <w:t>) and non-violent (75</w:t>
      </w:r>
      <w:r w:rsidR="002E4EB9">
        <w:rPr>
          <w:rFonts w:ascii="Times" w:hAnsi="Times"/>
        </w:rPr>
        <w:t xml:space="preserve"> percent</w:t>
      </w:r>
      <w:r w:rsidR="007B77D7" w:rsidRPr="005D3B69">
        <w:rPr>
          <w:rFonts w:ascii="Times" w:hAnsi="Times"/>
        </w:rPr>
        <w:t>).</w:t>
      </w:r>
      <w:r w:rsidR="005D3B69" w:rsidRPr="005D3B69">
        <w:rPr>
          <w:rFonts w:ascii="Times" w:hAnsi="Times"/>
        </w:rPr>
        <w:t xml:space="preserve"> In addition, 84 percent agreed that drug-addicted offenders should be put on intensive rehabilitation and counselling programs, rather than being </w:t>
      </w:r>
      <w:r w:rsidR="005D3B69" w:rsidRPr="005D3B69">
        <w:rPr>
          <w:rFonts w:ascii="Times" w:hAnsi="Times"/>
        </w:rPr>
        <w:lastRenderedPageBreak/>
        <w:t>sent to prison, while 75 percent agreed that non-violent offenders should receive community corrections orders rather than prison.</w:t>
      </w:r>
    </w:p>
    <w:p w14:paraId="76A0A751" w14:textId="3E5E527D" w:rsidR="007E25EA" w:rsidRDefault="00C4482E" w:rsidP="00BB43A1">
      <w:pPr>
        <w:spacing w:after="120" w:line="360" w:lineRule="auto"/>
        <w:rPr>
          <w:rFonts w:ascii="Times" w:hAnsi="Times"/>
        </w:rPr>
      </w:pPr>
      <w:r w:rsidRPr="00621453">
        <w:rPr>
          <w:rFonts w:ascii="Times" w:hAnsi="Times"/>
        </w:rPr>
        <w:t>Other findi</w:t>
      </w:r>
      <w:r w:rsidR="00D16407" w:rsidRPr="00621453">
        <w:rPr>
          <w:rFonts w:ascii="Times" w:hAnsi="Times"/>
        </w:rPr>
        <w:t>n</w:t>
      </w:r>
      <w:r w:rsidRPr="00621453">
        <w:rPr>
          <w:rFonts w:ascii="Times" w:hAnsi="Times"/>
        </w:rPr>
        <w:t>g</w:t>
      </w:r>
      <w:r w:rsidR="00D16407" w:rsidRPr="00621453">
        <w:rPr>
          <w:rFonts w:ascii="Times" w:hAnsi="Times"/>
        </w:rPr>
        <w:t xml:space="preserve">s </w:t>
      </w:r>
      <w:r w:rsidR="00E16A60">
        <w:rPr>
          <w:rFonts w:ascii="Times" w:hAnsi="Times"/>
        </w:rPr>
        <w:t>from the VSAC’s additional research on this</w:t>
      </w:r>
      <w:r w:rsidR="00663A85" w:rsidRPr="00621453">
        <w:rPr>
          <w:rFonts w:ascii="Times" w:hAnsi="Times"/>
        </w:rPr>
        <w:t xml:space="preserve"> project indicated that although respondents said that they were not satisfied with the decisions that courts make (57</w:t>
      </w:r>
      <w:r w:rsidR="002E4EB9">
        <w:rPr>
          <w:rFonts w:ascii="Times" w:hAnsi="Times"/>
        </w:rPr>
        <w:t xml:space="preserve"> percent</w:t>
      </w:r>
      <w:r w:rsidR="00663A85" w:rsidRPr="00621453">
        <w:rPr>
          <w:rFonts w:ascii="Times" w:hAnsi="Times"/>
        </w:rPr>
        <w:t xml:space="preserve"> disagreed, while 28</w:t>
      </w:r>
      <w:r w:rsidR="002E4EB9">
        <w:rPr>
          <w:rFonts w:ascii="Times" w:hAnsi="Times"/>
        </w:rPr>
        <w:t xml:space="preserve"> percent</w:t>
      </w:r>
      <w:r w:rsidR="00663A85" w:rsidRPr="00621453">
        <w:rPr>
          <w:rFonts w:ascii="Times" w:hAnsi="Times"/>
        </w:rPr>
        <w:t xml:space="preserve"> agreed), they nevertheless had </w:t>
      </w:r>
      <w:r w:rsidR="00621453" w:rsidRPr="00621453">
        <w:rPr>
          <w:rFonts w:ascii="Times" w:hAnsi="Times"/>
        </w:rPr>
        <w:t xml:space="preserve">some </w:t>
      </w:r>
      <w:r w:rsidR="00663A85" w:rsidRPr="00621453">
        <w:rPr>
          <w:rFonts w:ascii="Times" w:hAnsi="Times"/>
        </w:rPr>
        <w:t xml:space="preserve">confidence that courts </w:t>
      </w:r>
      <w:r w:rsidR="00621453" w:rsidRPr="00621453">
        <w:rPr>
          <w:rFonts w:ascii="Times" w:hAnsi="Times"/>
        </w:rPr>
        <w:t>impose an appropriate sentence most of the time (54</w:t>
      </w:r>
      <w:r w:rsidR="002E4EB9">
        <w:rPr>
          <w:rFonts w:ascii="Times" w:hAnsi="Times"/>
        </w:rPr>
        <w:t xml:space="preserve"> percent</w:t>
      </w:r>
      <w:r w:rsidR="00621453" w:rsidRPr="00621453">
        <w:rPr>
          <w:rFonts w:ascii="Times" w:hAnsi="Times"/>
        </w:rPr>
        <w:t xml:space="preserve"> agreed, vs 40</w:t>
      </w:r>
      <w:r w:rsidR="002E4EB9">
        <w:rPr>
          <w:rFonts w:ascii="Times" w:hAnsi="Times"/>
        </w:rPr>
        <w:t xml:space="preserve"> percent</w:t>
      </w:r>
      <w:r w:rsidR="00621453" w:rsidRPr="00621453">
        <w:rPr>
          <w:rFonts w:ascii="Times" w:hAnsi="Times"/>
        </w:rPr>
        <w:t xml:space="preserve"> disagreeing) (Gelb</w:t>
      </w:r>
      <w:r w:rsidR="00F17E6B">
        <w:rPr>
          <w:rFonts w:ascii="Times" w:hAnsi="Times"/>
        </w:rPr>
        <w:t>, 201</w:t>
      </w:r>
      <w:r w:rsidR="00621453" w:rsidRPr="00621453">
        <w:rPr>
          <w:rFonts w:ascii="Times" w:hAnsi="Times"/>
        </w:rPr>
        <w:t>1b).</w:t>
      </w:r>
      <w:r w:rsidR="00037A0E">
        <w:rPr>
          <w:rFonts w:ascii="Times" w:hAnsi="Times"/>
        </w:rPr>
        <w:t xml:space="preserve"> </w:t>
      </w:r>
      <w:r w:rsidR="00037B0B">
        <w:rPr>
          <w:rFonts w:ascii="Times" w:hAnsi="Times"/>
        </w:rPr>
        <w:t>Respondents were also asked to nominate the most important purpose of sentencing for a range of offence and offender types (Gelb</w:t>
      </w:r>
      <w:r w:rsidR="00F17E6B">
        <w:rPr>
          <w:rFonts w:ascii="Times" w:hAnsi="Times"/>
        </w:rPr>
        <w:t>, 201</w:t>
      </w:r>
      <w:r w:rsidR="00037B0B">
        <w:rPr>
          <w:rFonts w:ascii="Times" w:hAnsi="Times"/>
        </w:rPr>
        <w:t xml:space="preserve">1c). </w:t>
      </w:r>
      <w:r w:rsidR="00037A0E">
        <w:rPr>
          <w:rFonts w:ascii="Times" w:hAnsi="Times"/>
        </w:rPr>
        <w:t xml:space="preserve">For first-time burglars, respondents were most likely to nominate rehabilitation as the most important </w:t>
      </w:r>
      <w:r w:rsidR="00037B0B">
        <w:rPr>
          <w:rFonts w:ascii="Times" w:hAnsi="Times"/>
        </w:rPr>
        <w:t xml:space="preserve">sentencing </w:t>
      </w:r>
      <w:r w:rsidR="00037A0E">
        <w:rPr>
          <w:rFonts w:ascii="Times" w:hAnsi="Times"/>
        </w:rPr>
        <w:t>purpose for both young (62</w:t>
      </w:r>
      <w:r w:rsidR="002E4EB9">
        <w:rPr>
          <w:rFonts w:ascii="Times" w:hAnsi="Times"/>
        </w:rPr>
        <w:t xml:space="preserve"> percent</w:t>
      </w:r>
      <w:r w:rsidR="00037A0E">
        <w:rPr>
          <w:rFonts w:ascii="Times" w:hAnsi="Times"/>
        </w:rPr>
        <w:t>) and adult (50</w:t>
      </w:r>
      <w:r w:rsidR="002E4EB9">
        <w:rPr>
          <w:rFonts w:ascii="Times" w:hAnsi="Times"/>
        </w:rPr>
        <w:t xml:space="preserve"> percent</w:t>
      </w:r>
      <w:r w:rsidR="00037A0E">
        <w:rPr>
          <w:rFonts w:ascii="Times" w:hAnsi="Times"/>
        </w:rPr>
        <w:t>) offenders</w:t>
      </w:r>
      <w:r w:rsidR="0095443A">
        <w:rPr>
          <w:rFonts w:ascii="Times" w:hAnsi="Times"/>
        </w:rPr>
        <w:t>, followed by punishment (13</w:t>
      </w:r>
      <w:r w:rsidR="002E4EB9">
        <w:rPr>
          <w:rFonts w:ascii="Times" w:hAnsi="Times"/>
        </w:rPr>
        <w:t xml:space="preserve"> percent</w:t>
      </w:r>
      <w:r w:rsidR="0095443A">
        <w:rPr>
          <w:rFonts w:ascii="Times" w:hAnsi="Times"/>
        </w:rPr>
        <w:t xml:space="preserve"> and 23</w:t>
      </w:r>
      <w:r w:rsidR="002E4EB9">
        <w:rPr>
          <w:rFonts w:ascii="Times" w:hAnsi="Times"/>
        </w:rPr>
        <w:t xml:space="preserve"> percent</w:t>
      </w:r>
      <w:r w:rsidR="0095443A">
        <w:rPr>
          <w:rFonts w:ascii="Times" w:hAnsi="Times"/>
        </w:rPr>
        <w:t xml:space="preserve"> respectively)</w:t>
      </w:r>
      <w:r w:rsidR="00037A0E">
        <w:rPr>
          <w:rFonts w:ascii="Times" w:hAnsi="Times"/>
        </w:rPr>
        <w:t>.</w:t>
      </w:r>
      <w:r w:rsidR="0095443A">
        <w:rPr>
          <w:rFonts w:ascii="Times" w:hAnsi="Times"/>
        </w:rPr>
        <w:t xml:space="preserve"> For repeat burglars, by contrast, the most important purpose was punishment for both young and adult offenders (40</w:t>
      </w:r>
      <w:r w:rsidR="002E4EB9">
        <w:rPr>
          <w:rFonts w:ascii="Times" w:hAnsi="Times"/>
        </w:rPr>
        <w:t xml:space="preserve"> percent</w:t>
      </w:r>
      <w:r w:rsidR="0095443A">
        <w:rPr>
          <w:rFonts w:ascii="Times" w:hAnsi="Times"/>
        </w:rPr>
        <w:t xml:space="preserve"> and 51</w:t>
      </w:r>
      <w:r w:rsidR="002E4EB9">
        <w:rPr>
          <w:rFonts w:ascii="Times" w:hAnsi="Times"/>
        </w:rPr>
        <w:t xml:space="preserve"> percent</w:t>
      </w:r>
      <w:r w:rsidR="0095443A">
        <w:rPr>
          <w:rFonts w:ascii="Times" w:hAnsi="Times"/>
        </w:rPr>
        <w:t>), followed by rehabilitation for young offenders (26</w:t>
      </w:r>
      <w:r w:rsidR="002E4EB9">
        <w:rPr>
          <w:rFonts w:ascii="Times" w:hAnsi="Times"/>
        </w:rPr>
        <w:t xml:space="preserve"> percent</w:t>
      </w:r>
      <w:r w:rsidR="0095443A">
        <w:rPr>
          <w:rFonts w:ascii="Times" w:hAnsi="Times"/>
        </w:rPr>
        <w:t>) and incapacitation for adult offenders (20</w:t>
      </w:r>
      <w:r w:rsidR="002E4EB9">
        <w:rPr>
          <w:rFonts w:ascii="Times" w:hAnsi="Times"/>
        </w:rPr>
        <w:t xml:space="preserve"> percent</w:t>
      </w:r>
      <w:r w:rsidR="0095443A">
        <w:rPr>
          <w:rFonts w:ascii="Times" w:hAnsi="Times"/>
        </w:rPr>
        <w:t>).</w:t>
      </w:r>
      <w:r w:rsidR="00037B0B">
        <w:rPr>
          <w:rFonts w:ascii="Times" w:hAnsi="Times"/>
        </w:rPr>
        <w:t xml:space="preserve"> </w:t>
      </w:r>
      <w:r w:rsidR="00752BD7">
        <w:rPr>
          <w:rFonts w:ascii="Times" w:hAnsi="Times"/>
        </w:rPr>
        <w:t xml:space="preserve">For first-time serious assault offenders, the most important </w:t>
      </w:r>
      <w:r w:rsidR="00752BD7" w:rsidRPr="00752BD7">
        <w:rPr>
          <w:rFonts w:ascii="Times" w:hAnsi="Times"/>
        </w:rPr>
        <w:t>purpose was rehabilitation, nominated by 56 percent and 38 percent of respondents for young and adult offenders respectively. This was</w:t>
      </w:r>
      <w:r w:rsidR="00752BD7">
        <w:rPr>
          <w:rFonts w:ascii="Times" w:hAnsi="Times"/>
        </w:rPr>
        <w:t xml:space="preserve"> </w:t>
      </w:r>
      <w:r w:rsidR="00037B0B">
        <w:rPr>
          <w:rFonts w:ascii="Times" w:hAnsi="Times"/>
        </w:rPr>
        <w:t>followed by punishment (19</w:t>
      </w:r>
      <w:r w:rsidR="002E4EB9">
        <w:rPr>
          <w:rFonts w:ascii="Times" w:hAnsi="Times"/>
        </w:rPr>
        <w:t xml:space="preserve"> percent</w:t>
      </w:r>
      <w:r w:rsidR="00037B0B">
        <w:rPr>
          <w:rFonts w:ascii="Times" w:hAnsi="Times"/>
        </w:rPr>
        <w:t xml:space="preserve"> and 34</w:t>
      </w:r>
      <w:r w:rsidR="002E4EB9">
        <w:rPr>
          <w:rFonts w:ascii="Times" w:hAnsi="Times"/>
        </w:rPr>
        <w:t xml:space="preserve"> percent</w:t>
      </w:r>
      <w:r w:rsidR="00037B0B">
        <w:rPr>
          <w:rFonts w:ascii="Times" w:hAnsi="Times"/>
        </w:rPr>
        <w:t xml:space="preserve"> respectively). For repeat offenders, punishment was the most popular purpose for both young (44</w:t>
      </w:r>
      <w:r w:rsidR="002E4EB9">
        <w:rPr>
          <w:rFonts w:ascii="Times" w:hAnsi="Times"/>
        </w:rPr>
        <w:t xml:space="preserve"> percent</w:t>
      </w:r>
      <w:r w:rsidR="00037B0B">
        <w:rPr>
          <w:rFonts w:ascii="Times" w:hAnsi="Times"/>
        </w:rPr>
        <w:t>) and adult (51</w:t>
      </w:r>
      <w:r w:rsidR="002E4EB9">
        <w:rPr>
          <w:rFonts w:ascii="Times" w:hAnsi="Times"/>
        </w:rPr>
        <w:t xml:space="preserve"> percent</w:t>
      </w:r>
      <w:r w:rsidR="00037B0B">
        <w:rPr>
          <w:rFonts w:ascii="Times" w:hAnsi="Times"/>
        </w:rPr>
        <w:t>) offenders, followed by incapacitation (23</w:t>
      </w:r>
      <w:r w:rsidR="002E4EB9">
        <w:rPr>
          <w:rFonts w:ascii="Times" w:hAnsi="Times"/>
        </w:rPr>
        <w:t xml:space="preserve"> percent</w:t>
      </w:r>
      <w:r w:rsidR="00037B0B">
        <w:rPr>
          <w:rFonts w:ascii="Times" w:hAnsi="Times"/>
        </w:rPr>
        <w:t xml:space="preserve"> and 30</w:t>
      </w:r>
      <w:r w:rsidR="002E4EB9">
        <w:rPr>
          <w:rFonts w:ascii="Times" w:hAnsi="Times"/>
        </w:rPr>
        <w:t xml:space="preserve"> percent</w:t>
      </w:r>
      <w:r w:rsidR="00037B0B">
        <w:rPr>
          <w:rFonts w:ascii="Times" w:hAnsi="Times"/>
        </w:rPr>
        <w:t xml:space="preserve"> respectively).</w:t>
      </w:r>
    </w:p>
    <w:p w14:paraId="63A2ACF4" w14:textId="62852E40" w:rsidR="002E4EB9" w:rsidRPr="00581F33" w:rsidRDefault="007E25EA" w:rsidP="00BB43A1">
      <w:pPr>
        <w:spacing w:after="120" w:line="360" w:lineRule="auto"/>
        <w:rPr>
          <w:rFonts w:ascii="Times" w:hAnsi="Times" w:cs="Arial"/>
        </w:rPr>
      </w:pPr>
      <w:r>
        <w:rPr>
          <w:rFonts w:ascii="Times" w:hAnsi="Times"/>
        </w:rPr>
        <w:t>These findings are consistent with f</w:t>
      </w:r>
      <w:r>
        <w:rPr>
          <w:rFonts w:ascii="Times" w:hAnsi="Times" w:cs="Arial"/>
        </w:rPr>
        <w:t xml:space="preserve">ollow-up research on the National Sentencing Study by </w:t>
      </w:r>
      <w:r w:rsidR="00EA7624">
        <w:rPr>
          <w:rFonts w:ascii="Times" w:hAnsi="Times" w:cs="Arial"/>
        </w:rPr>
        <w:t xml:space="preserve">Spiranovic </w:t>
      </w:r>
      <w:r w:rsidR="00F17E6B">
        <w:rPr>
          <w:rFonts w:ascii="Times" w:hAnsi="Times" w:cs="Arial"/>
        </w:rPr>
        <w:t>et al.</w:t>
      </w:r>
      <w:r w:rsidR="00EA7624">
        <w:rPr>
          <w:rFonts w:ascii="Times" w:hAnsi="Times" w:cs="Arial"/>
        </w:rPr>
        <w:t xml:space="preserve"> (2012</w:t>
      </w:r>
      <w:r>
        <w:rPr>
          <w:rFonts w:ascii="Times" w:hAnsi="Times" w:cs="Arial"/>
        </w:rPr>
        <w:t xml:space="preserve">) with 800 randomly selected respondents across Australia. This indicated that rehabilitation was seen as most important for first-time, young and burglary offenders, while </w:t>
      </w:r>
      <w:r w:rsidRPr="007E25EA">
        <w:rPr>
          <w:rFonts w:ascii="Times" w:hAnsi="Times" w:cs="Arial"/>
        </w:rPr>
        <w:t xml:space="preserve">punishment was endorsed as most important for repeat, adult and serious </w:t>
      </w:r>
      <w:r w:rsidRPr="00CE4296">
        <w:rPr>
          <w:rFonts w:ascii="Times" w:hAnsi="Times" w:cs="Arial"/>
          <w:color w:val="000000" w:themeColor="text1"/>
        </w:rPr>
        <w:t>assault offenders. In addition, t</w:t>
      </w:r>
      <w:r w:rsidRPr="00CE4296">
        <w:rPr>
          <w:rFonts w:ascii="Times" w:eastAsia="Times New Roman" w:hAnsi="Times" w:cs="Arial"/>
          <w:color w:val="000000" w:themeColor="text1"/>
          <w:shd w:val="clear" w:color="auto" w:fill="FFFFFF"/>
        </w:rPr>
        <w:t>he odds of choosing rehabilitation compared with punishment were significantly increased by a factor of 6.1 for cases involving first-time offenders.</w:t>
      </w:r>
    </w:p>
    <w:p w14:paraId="085AC2D8" w14:textId="2CA542BA" w:rsidR="00364B2F" w:rsidRPr="00CF0039" w:rsidRDefault="002E4EB9" w:rsidP="00BB43A1">
      <w:pPr>
        <w:spacing w:after="120" w:line="360" w:lineRule="auto"/>
        <w:rPr>
          <w:rFonts w:ascii="Times" w:hAnsi="Times"/>
        </w:rPr>
      </w:pPr>
      <w:r>
        <w:rPr>
          <w:rFonts w:ascii="Times" w:hAnsi="Times"/>
        </w:rPr>
        <w:t xml:space="preserve">Other research has indicated that </w:t>
      </w:r>
      <w:r w:rsidRPr="002E4EB9">
        <w:rPr>
          <w:rFonts w:ascii="Times" w:hAnsi="Times"/>
        </w:rPr>
        <w:t xml:space="preserve">members of the public </w:t>
      </w:r>
      <w:r>
        <w:rPr>
          <w:rFonts w:ascii="Times" w:hAnsi="Times"/>
        </w:rPr>
        <w:t xml:space="preserve">in NSW </w:t>
      </w:r>
      <w:r>
        <w:rPr>
          <w:rFonts w:ascii="Times" w:hAnsi="Times" w:cs="Arial"/>
          <w:color w:val="131313"/>
        </w:rPr>
        <w:t>we</w:t>
      </w:r>
      <w:r w:rsidRPr="002E4EB9">
        <w:rPr>
          <w:rFonts w:ascii="Times" w:hAnsi="Times" w:cs="Arial"/>
          <w:color w:val="131313"/>
        </w:rPr>
        <w:t>re equally disposed to reducing crime by rehabilitating offenders as they are to imprisoning them for longer (Jones and Weatherburn</w:t>
      </w:r>
      <w:r w:rsidR="00F17E6B">
        <w:rPr>
          <w:rFonts w:ascii="Times" w:hAnsi="Times" w:cs="Arial"/>
          <w:color w:val="131313"/>
        </w:rPr>
        <w:t>, 201</w:t>
      </w:r>
      <w:r w:rsidRPr="002E4EB9">
        <w:rPr>
          <w:rFonts w:ascii="Times" w:hAnsi="Times" w:cs="Arial"/>
          <w:color w:val="131313"/>
        </w:rPr>
        <w:t>1)</w:t>
      </w:r>
      <w:r>
        <w:rPr>
          <w:rFonts w:ascii="Times" w:hAnsi="Times" w:cs="Arial"/>
          <w:color w:val="131313"/>
        </w:rPr>
        <w:t xml:space="preserve">. </w:t>
      </w:r>
      <w:r>
        <w:rPr>
          <w:rFonts w:ascii="Times" w:hAnsi="Times" w:cs="OpenSans"/>
          <w:color w:val="000000" w:themeColor="text1"/>
        </w:rPr>
        <w:t>Simpson and Butler (2015) recently found that c</w:t>
      </w:r>
      <w:r w:rsidRPr="002E4EB9">
        <w:rPr>
          <w:rFonts w:ascii="Times" w:hAnsi="Times" w:cs="OpenSans"/>
          <w:color w:val="000000" w:themeColor="text1"/>
        </w:rPr>
        <w:t xml:space="preserve">itizens’ juries </w:t>
      </w:r>
      <w:r w:rsidR="00B00E53">
        <w:rPr>
          <w:rFonts w:ascii="Times" w:hAnsi="Times" w:cs="OpenSans"/>
          <w:color w:val="000000" w:themeColor="text1"/>
        </w:rPr>
        <w:t>in NSW, Western Australia and the ACT</w:t>
      </w:r>
      <w:r w:rsidR="00E3403B">
        <w:rPr>
          <w:rFonts w:ascii="Times" w:hAnsi="Times" w:cs="OpenSans"/>
          <w:color w:val="000000" w:themeColor="text1"/>
        </w:rPr>
        <w:t xml:space="preserve"> (n=43: Simpson </w:t>
      </w:r>
      <w:r w:rsidR="00F17E6B">
        <w:rPr>
          <w:rFonts w:ascii="Times" w:hAnsi="Times" w:cs="OpenSans"/>
          <w:color w:val="000000" w:themeColor="text1"/>
        </w:rPr>
        <w:t>et al., 201</w:t>
      </w:r>
      <w:r w:rsidR="00E3403B">
        <w:rPr>
          <w:rFonts w:ascii="Times" w:hAnsi="Times" w:cs="OpenSans"/>
          <w:color w:val="000000" w:themeColor="text1"/>
        </w:rPr>
        <w:t>5</w:t>
      </w:r>
      <w:r w:rsidR="00B00E53">
        <w:rPr>
          <w:rFonts w:ascii="Times" w:hAnsi="Times" w:cs="OpenSans"/>
          <w:color w:val="000000" w:themeColor="text1"/>
        </w:rPr>
        <w:t xml:space="preserve">) </w:t>
      </w:r>
      <w:r w:rsidRPr="002E4EB9">
        <w:rPr>
          <w:rFonts w:ascii="Times" w:hAnsi="Times" w:cs="OpenSans"/>
          <w:color w:val="000000" w:themeColor="text1"/>
        </w:rPr>
        <w:t xml:space="preserve">demonstrated </w:t>
      </w:r>
      <w:r w:rsidRPr="002E4EB9">
        <w:rPr>
          <w:rFonts w:ascii="Times" w:hAnsi="Times"/>
          <w:color w:val="000000" w:themeColor="text1"/>
        </w:rPr>
        <w:t xml:space="preserve">a preference for retaining deprivation of liberty for very serious </w:t>
      </w:r>
      <w:r w:rsidRPr="002E4EB9">
        <w:rPr>
          <w:rFonts w:ascii="Times" w:hAnsi="Times"/>
          <w:color w:val="000000" w:themeColor="text1"/>
        </w:rPr>
        <w:lastRenderedPageBreak/>
        <w:t>offences, but there was also strong support for non-punitive approaches and alternatives to incarceration, as well as better services and programmes to address the underlying determinants of crime</w:t>
      </w:r>
      <w:r w:rsidR="003A67B3">
        <w:rPr>
          <w:rFonts w:ascii="Times" w:hAnsi="Times"/>
          <w:color w:val="000000" w:themeColor="text1"/>
        </w:rPr>
        <w:t xml:space="preserve"> (eg, mental and physical health services and substance abuse treatment: Simpson </w:t>
      </w:r>
      <w:r w:rsidR="00F17E6B">
        <w:rPr>
          <w:rFonts w:ascii="Times" w:hAnsi="Times"/>
          <w:color w:val="000000" w:themeColor="text1"/>
        </w:rPr>
        <w:t>et al., 201</w:t>
      </w:r>
      <w:r w:rsidR="003A67B3">
        <w:rPr>
          <w:rFonts w:ascii="Times" w:hAnsi="Times"/>
          <w:color w:val="000000" w:themeColor="text1"/>
        </w:rPr>
        <w:t>5)</w:t>
      </w:r>
      <w:r w:rsidRPr="002E4EB9">
        <w:rPr>
          <w:rFonts w:ascii="Times" w:hAnsi="Times"/>
          <w:color w:val="000000" w:themeColor="text1"/>
        </w:rPr>
        <w:t>; prison diversion programmes; raising awareness of prison alternatives; and a commitment to allocating public funds to non-incarceration options.</w:t>
      </w:r>
      <w:r w:rsidR="003A67B3">
        <w:rPr>
          <w:rFonts w:ascii="Times" w:hAnsi="Times"/>
          <w:color w:val="000000" w:themeColor="text1"/>
        </w:rPr>
        <w:t xml:space="preserve"> Simpson </w:t>
      </w:r>
      <w:r w:rsidR="00F17E6B">
        <w:rPr>
          <w:rFonts w:ascii="Times" w:hAnsi="Times"/>
          <w:color w:val="000000" w:themeColor="text1"/>
        </w:rPr>
        <w:t>et al.</w:t>
      </w:r>
      <w:r w:rsidR="003A67B3">
        <w:rPr>
          <w:rFonts w:ascii="Times" w:hAnsi="Times"/>
          <w:color w:val="000000" w:themeColor="text1"/>
        </w:rPr>
        <w:t xml:space="preserve"> (2015) also reported that the juries identified equity and fairness; a prevention focus; and community involvement as principles that should underpin offender treatment.</w:t>
      </w:r>
    </w:p>
    <w:p w14:paraId="2C3FD431" w14:textId="52235174" w:rsidR="005F169B" w:rsidRPr="00CF0039" w:rsidRDefault="00364B2F" w:rsidP="00BB43A1">
      <w:pPr>
        <w:spacing w:after="120" w:line="360" w:lineRule="auto"/>
        <w:rPr>
          <w:rFonts w:ascii="Times" w:eastAsia="Times New Roman" w:hAnsi="Times"/>
          <w:color w:val="222222"/>
          <w:shd w:val="clear" w:color="auto" w:fill="FFFFFF"/>
        </w:rPr>
      </w:pPr>
      <w:r w:rsidRPr="00CF0039">
        <w:rPr>
          <w:rFonts w:ascii="Times" w:hAnsi="Times"/>
        </w:rPr>
        <w:t xml:space="preserve">Another significant project was the Tasmanian Jury Sentencing Project, led by Warner. This was the first study of its kind in the world, as it involved surveying and interviewing jurors – as </w:t>
      </w:r>
      <w:r w:rsidRPr="00CF0039">
        <w:rPr>
          <w:rFonts w:ascii="Times" w:hAnsi="Times"/>
          <w:i/>
        </w:rPr>
        <w:t>informed</w:t>
      </w:r>
      <w:r w:rsidRPr="00CF0039">
        <w:rPr>
          <w:rFonts w:ascii="Times" w:hAnsi="Times"/>
        </w:rPr>
        <w:t xml:space="preserve"> members of the public</w:t>
      </w:r>
      <w:r w:rsidR="00D015EB" w:rsidRPr="00CF0039">
        <w:rPr>
          <w:rFonts w:ascii="Times" w:hAnsi="Times"/>
        </w:rPr>
        <w:t xml:space="preserve"> –</w:t>
      </w:r>
      <w:r w:rsidRPr="00CF0039">
        <w:rPr>
          <w:rFonts w:ascii="Times" w:hAnsi="Times"/>
        </w:rPr>
        <w:t xml:space="preserve"> to determine their views on sentencing generally and the specific outcome in the case in which they had served as jurors</w:t>
      </w:r>
      <w:r w:rsidR="00D16407">
        <w:rPr>
          <w:rFonts w:ascii="Times" w:hAnsi="Times"/>
        </w:rPr>
        <w:t xml:space="preserve"> (see Warner </w:t>
      </w:r>
      <w:r w:rsidR="00F17E6B">
        <w:rPr>
          <w:rFonts w:ascii="Times" w:hAnsi="Times"/>
        </w:rPr>
        <w:t>et al., 200</w:t>
      </w:r>
      <w:r w:rsidR="00D16407">
        <w:rPr>
          <w:rFonts w:ascii="Times" w:hAnsi="Times"/>
        </w:rPr>
        <w:t>9)</w:t>
      </w:r>
      <w:r w:rsidRPr="00CF0039">
        <w:rPr>
          <w:rFonts w:ascii="Times" w:hAnsi="Times"/>
        </w:rPr>
        <w:t>.</w:t>
      </w:r>
      <w:r w:rsidR="00CE02BA" w:rsidRPr="00CF0039">
        <w:rPr>
          <w:rStyle w:val="FootnoteReference"/>
          <w:rFonts w:ascii="Times" w:eastAsia="Times New Roman" w:hAnsi="Times"/>
          <w:color w:val="222222"/>
          <w:shd w:val="clear" w:color="auto" w:fill="FFFFFF"/>
        </w:rPr>
        <w:t xml:space="preserve"> </w:t>
      </w:r>
      <w:r w:rsidR="00D015EB" w:rsidRPr="00CF0039">
        <w:rPr>
          <w:rFonts w:ascii="Times" w:hAnsi="Times"/>
        </w:rPr>
        <w:t xml:space="preserve">The study involved 257 jurors from 51 trials at the first stage (where respondents were </w:t>
      </w:r>
      <w:r w:rsidR="00D015EB" w:rsidRPr="00CF0039">
        <w:rPr>
          <w:rFonts w:ascii="Times" w:eastAsia="Times New Roman" w:hAnsi="Times"/>
          <w:color w:val="222222"/>
          <w:shd w:val="clear" w:color="auto" w:fill="FFFFFF"/>
        </w:rPr>
        <w:t xml:space="preserve">asked to complete a consent form and short questionnaire); 144 at the second stage (after respondents had been provided with a booklet about crime and sentencing patterns and the judicial officers comments on sentence in the case in which they had served as jurors) and follow-up interviews with </w:t>
      </w:r>
      <w:r w:rsidR="00A31A7C" w:rsidRPr="00CF0039">
        <w:rPr>
          <w:rFonts w:ascii="Times" w:eastAsia="Times New Roman" w:hAnsi="Times"/>
          <w:color w:val="222222"/>
          <w:shd w:val="clear" w:color="auto" w:fill="FFFFFF"/>
        </w:rPr>
        <w:t xml:space="preserve">63 respondents. The preliminary findings indicated that 50 percent of respondents imposed a sentence that was less severe than that imposed by the judge, 46 percent were more severe and about five percent suggested a sentence of the same severity. In cases involving sex </w:t>
      </w:r>
      <w:r w:rsidR="00D16407">
        <w:rPr>
          <w:rFonts w:ascii="Times" w:eastAsia="Times New Roman" w:hAnsi="Times"/>
          <w:color w:val="222222"/>
          <w:shd w:val="clear" w:color="auto" w:fill="FFFFFF"/>
        </w:rPr>
        <w:t>offences, the juror’</w:t>
      </w:r>
      <w:r w:rsidR="00A31A7C" w:rsidRPr="00CF0039">
        <w:rPr>
          <w:rFonts w:ascii="Times" w:eastAsia="Times New Roman" w:hAnsi="Times"/>
          <w:color w:val="222222"/>
          <w:shd w:val="clear" w:color="auto" w:fill="FFFFFF"/>
        </w:rPr>
        <w:t>s proposed sentence</w:t>
      </w:r>
      <w:r w:rsidR="00D16407">
        <w:rPr>
          <w:rFonts w:ascii="Times" w:eastAsia="Times New Roman" w:hAnsi="Times"/>
          <w:color w:val="222222"/>
          <w:shd w:val="clear" w:color="auto" w:fill="FFFFFF"/>
        </w:rPr>
        <w:t xml:space="preserve"> was more severe than the judge’</w:t>
      </w:r>
      <w:r w:rsidR="00A31A7C" w:rsidRPr="00CF0039">
        <w:rPr>
          <w:rFonts w:ascii="Times" w:eastAsia="Times New Roman" w:hAnsi="Times"/>
          <w:color w:val="222222"/>
          <w:shd w:val="clear" w:color="auto" w:fill="FFFFFF"/>
        </w:rPr>
        <w:t>s in 53 percent of cases; in propert</w:t>
      </w:r>
      <w:r w:rsidR="00D16407">
        <w:rPr>
          <w:rFonts w:ascii="Times" w:eastAsia="Times New Roman" w:hAnsi="Times"/>
          <w:color w:val="222222"/>
          <w:shd w:val="clear" w:color="auto" w:fill="FFFFFF"/>
        </w:rPr>
        <w:t>y cases, by contrast, the juror’</w:t>
      </w:r>
      <w:r w:rsidR="00A31A7C" w:rsidRPr="00CF0039">
        <w:rPr>
          <w:rFonts w:ascii="Times" w:eastAsia="Times New Roman" w:hAnsi="Times"/>
          <w:color w:val="222222"/>
          <w:shd w:val="clear" w:color="auto" w:fill="FFFFFF"/>
        </w:rPr>
        <w:t xml:space="preserve">s proposed sentence was less severe than that proposed by the jurors in 66 percent of cases. </w:t>
      </w:r>
    </w:p>
    <w:p w14:paraId="4CA7783F" w14:textId="5EBCF4DA" w:rsidR="00ED00AE" w:rsidRPr="00CF0039" w:rsidRDefault="005F169B" w:rsidP="00BB43A1">
      <w:pPr>
        <w:spacing w:after="120" w:line="360" w:lineRule="auto"/>
        <w:rPr>
          <w:rFonts w:ascii="Times" w:eastAsia="Times New Roman" w:hAnsi="Times"/>
          <w:color w:val="222222"/>
          <w:shd w:val="clear" w:color="auto" w:fill="FFFFFF"/>
        </w:rPr>
      </w:pPr>
      <w:r w:rsidRPr="00CF0039">
        <w:rPr>
          <w:rFonts w:ascii="Times" w:eastAsia="Times New Roman" w:hAnsi="Times"/>
          <w:color w:val="222222"/>
          <w:shd w:val="clear" w:color="auto" w:fill="FFFFFF"/>
        </w:rPr>
        <w:t>The fi</w:t>
      </w:r>
      <w:r w:rsidR="007E25EA">
        <w:rPr>
          <w:rFonts w:ascii="Times" w:eastAsia="Times New Roman" w:hAnsi="Times"/>
          <w:color w:val="222222"/>
          <w:shd w:val="clear" w:color="auto" w:fill="FFFFFF"/>
        </w:rPr>
        <w:t>nal results from the Tasmanian Jury Sentencing Project</w:t>
      </w:r>
      <w:r w:rsidRPr="00CF0039">
        <w:rPr>
          <w:rFonts w:ascii="Times" w:eastAsia="Times New Roman" w:hAnsi="Times"/>
          <w:color w:val="222222"/>
          <w:shd w:val="clear" w:color="auto" w:fill="FFFFFF"/>
        </w:rPr>
        <w:t xml:space="preserve"> involved 698 jurors from 138 trials out of a possible 162 trials that returned a guilty verdict in the two-year study period</w:t>
      </w:r>
      <w:r w:rsidR="00D16407">
        <w:rPr>
          <w:rFonts w:ascii="Times" w:eastAsia="Times New Roman" w:hAnsi="Times"/>
          <w:color w:val="222222"/>
          <w:shd w:val="clear" w:color="auto" w:fill="FFFFFF"/>
        </w:rPr>
        <w:t xml:space="preserve"> (Warner </w:t>
      </w:r>
      <w:r w:rsidR="00F17E6B">
        <w:rPr>
          <w:rFonts w:ascii="Times" w:eastAsia="Times New Roman" w:hAnsi="Times"/>
          <w:color w:val="222222"/>
          <w:shd w:val="clear" w:color="auto" w:fill="FFFFFF"/>
        </w:rPr>
        <w:t>et al., 201</w:t>
      </w:r>
      <w:r w:rsidR="00D16407">
        <w:rPr>
          <w:rFonts w:ascii="Times" w:eastAsia="Times New Roman" w:hAnsi="Times"/>
          <w:color w:val="222222"/>
          <w:shd w:val="clear" w:color="auto" w:fill="FFFFFF"/>
        </w:rPr>
        <w:t>1)</w:t>
      </w:r>
      <w:r w:rsidRPr="00CF0039">
        <w:rPr>
          <w:rFonts w:ascii="Times" w:eastAsia="Times New Roman" w:hAnsi="Times"/>
          <w:color w:val="222222"/>
          <w:shd w:val="clear" w:color="auto" w:fill="FFFFFF"/>
        </w:rPr>
        <w:t>.</w:t>
      </w:r>
      <w:r w:rsidR="00ED00AE" w:rsidRPr="00CF0039">
        <w:rPr>
          <w:rFonts w:ascii="Times" w:eastAsia="Times New Roman" w:hAnsi="Times"/>
          <w:color w:val="222222"/>
          <w:shd w:val="clear" w:color="auto" w:fill="FFFFFF"/>
        </w:rPr>
        <w:t xml:space="preserve"> This indicated that more than half of the jurors surveyed suggested a more lenient sentence than the trial judge imposed. Moreover, when they were informed of the sentence imposed, 90 percent said that the judge’s sentence was appropriate. As Warner </w:t>
      </w:r>
      <w:r w:rsidR="00F17E6B">
        <w:rPr>
          <w:rFonts w:ascii="Times" w:eastAsia="Times New Roman" w:hAnsi="Times"/>
          <w:color w:val="222222"/>
          <w:shd w:val="clear" w:color="auto" w:fill="FFFFFF"/>
        </w:rPr>
        <w:t>et al.</w:t>
      </w:r>
      <w:r w:rsidR="00ED00AE" w:rsidRPr="00CF0039">
        <w:rPr>
          <w:rFonts w:ascii="Times" w:eastAsia="Times New Roman" w:hAnsi="Times"/>
          <w:color w:val="222222"/>
          <w:shd w:val="clear" w:color="auto" w:fill="FFFFFF"/>
        </w:rPr>
        <w:t xml:space="preserve"> noted,</w:t>
      </w:r>
    </w:p>
    <w:p w14:paraId="44D01FB0" w14:textId="2CA4895F" w:rsidR="00CE02BA" w:rsidRPr="00CF0039" w:rsidRDefault="00ED00AE" w:rsidP="00960ACB">
      <w:pPr>
        <w:spacing w:after="120" w:line="360" w:lineRule="auto"/>
        <w:ind w:left="720"/>
        <w:rPr>
          <w:rFonts w:ascii="Times" w:eastAsia="Times New Roman" w:hAnsi="Times"/>
          <w:color w:val="222222"/>
          <w:shd w:val="clear" w:color="auto" w:fill="FFFFFF"/>
        </w:rPr>
      </w:pPr>
      <w:r w:rsidRPr="00CF0039">
        <w:rPr>
          <w:rFonts w:ascii="Times" w:eastAsia="Times New Roman" w:hAnsi="Times"/>
          <w:color w:val="222222"/>
          <w:shd w:val="clear" w:color="auto" w:fill="FFFFFF"/>
        </w:rPr>
        <w:t xml:space="preserve">The fact that 52 percent of jurors chose a more lenient sentence than the judge and only 44 percent were more severe than the judge shows that informed </w:t>
      </w:r>
      <w:r w:rsidRPr="00CF0039">
        <w:rPr>
          <w:rFonts w:ascii="Times" w:eastAsia="Times New Roman" w:hAnsi="Times"/>
          <w:color w:val="222222"/>
          <w:shd w:val="clear" w:color="auto" w:fill="FFFFFF"/>
        </w:rPr>
        <w:lastRenderedPageBreak/>
        <w:t>members of the public are not as punitive as many repres</w:t>
      </w:r>
      <w:r w:rsidR="003945D3">
        <w:rPr>
          <w:rFonts w:ascii="Times" w:eastAsia="Times New Roman" w:hAnsi="Times"/>
          <w:color w:val="222222"/>
          <w:shd w:val="clear" w:color="auto" w:fill="FFFFFF"/>
        </w:rPr>
        <w:t xml:space="preserve">entative surveys have suggested </w:t>
      </w:r>
      <w:r w:rsidR="003945D3" w:rsidRPr="00CF0039">
        <w:rPr>
          <w:rFonts w:ascii="Times" w:eastAsia="Times New Roman" w:hAnsi="Times"/>
          <w:color w:val="222222"/>
          <w:shd w:val="clear" w:color="auto" w:fill="FFFFFF"/>
        </w:rPr>
        <w:t>(2011: 5)</w:t>
      </w:r>
      <w:r w:rsidR="003945D3">
        <w:rPr>
          <w:rFonts w:ascii="Times" w:eastAsia="Times New Roman" w:hAnsi="Times"/>
          <w:color w:val="222222"/>
          <w:shd w:val="clear" w:color="auto" w:fill="FFFFFF"/>
        </w:rPr>
        <w:t>.</w:t>
      </w:r>
      <w:r w:rsidR="003945D3">
        <w:rPr>
          <w:rStyle w:val="FootnoteReference"/>
          <w:rFonts w:ascii="Times" w:eastAsia="Times New Roman" w:hAnsi="Times"/>
          <w:color w:val="222222"/>
          <w:shd w:val="clear" w:color="auto" w:fill="FFFFFF"/>
        </w:rPr>
        <w:footnoteReference w:id="2"/>
      </w:r>
      <w:r w:rsidRPr="00CF0039">
        <w:rPr>
          <w:rFonts w:ascii="Times" w:eastAsia="Times New Roman" w:hAnsi="Times"/>
          <w:color w:val="222222"/>
          <w:shd w:val="clear" w:color="auto" w:fill="FFFFFF"/>
        </w:rPr>
        <w:t> </w:t>
      </w:r>
    </w:p>
    <w:p w14:paraId="406D8A18" w14:textId="2E7B45E9" w:rsidR="00A5546D" w:rsidRDefault="00CE02BA" w:rsidP="00BB43A1">
      <w:pPr>
        <w:spacing w:after="120" w:line="360" w:lineRule="auto"/>
        <w:rPr>
          <w:rFonts w:ascii="Times" w:eastAsia="Times New Roman" w:hAnsi="Times"/>
          <w:color w:val="222222"/>
          <w:shd w:val="clear" w:color="auto" w:fill="FFFFFF"/>
        </w:rPr>
      </w:pPr>
      <w:r w:rsidRPr="00CF0039">
        <w:rPr>
          <w:rFonts w:ascii="Times" w:eastAsia="Times New Roman" w:hAnsi="Times"/>
          <w:color w:val="222222"/>
          <w:shd w:val="clear" w:color="auto" w:fill="FFFFFF"/>
        </w:rPr>
        <w:t xml:space="preserve">Warner and others recently completed the Victorian Jury Sentencing Study, which </w:t>
      </w:r>
      <w:r w:rsidR="00B85F82" w:rsidRPr="00CF0039">
        <w:rPr>
          <w:rFonts w:ascii="Times" w:eastAsia="Times New Roman" w:hAnsi="Times"/>
          <w:color w:val="222222"/>
          <w:shd w:val="clear" w:color="auto" w:fill="FFFFFF"/>
        </w:rPr>
        <w:t xml:space="preserve">involved 987 participants from 124 trials. This study </w:t>
      </w:r>
      <w:r w:rsidRPr="00CF0039">
        <w:rPr>
          <w:rFonts w:ascii="Times" w:eastAsia="Times New Roman" w:hAnsi="Times"/>
          <w:color w:val="222222"/>
          <w:shd w:val="clear" w:color="auto" w:fill="FFFFFF"/>
        </w:rPr>
        <w:t>built on the methodology used in the Tasmanian study</w:t>
      </w:r>
      <w:r w:rsidR="00B85F82" w:rsidRPr="00CF0039">
        <w:rPr>
          <w:rFonts w:ascii="Times" w:eastAsia="Times New Roman" w:hAnsi="Times"/>
          <w:color w:val="222222"/>
          <w:shd w:val="clear" w:color="auto" w:fill="FFFFFF"/>
        </w:rPr>
        <w:t xml:space="preserve"> to explore the gap between judges and jurors on severity issues and to better understand how jurors consider the weight be given to aggravating and mitigating factors</w:t>
      </w:r>
      <w:r w:rsidRPr="00CF0039">
        <w:rPr>
          <w:rFonts w:ascii="Times" w:eastAsia="Times New Roman" w:hAnsi="Times"/>
          <w:color w:val="222222"/>
          <w:shd w:val="clear" w:color="auto" w:fill="FFFFFF"/>
        </w:rPr>
        <w:t>. The first findings from this project</w:t>
      </w:r>
      <w:r w:rsidR="00D16407">
        <w:rPr>
          <w:rFonts w:ascii="Times" w:eastAsia="Times New Roman" w:hAnsi="Times"/>
          <w:color w:val="222222"/>
          <w:shd w:val="clear" w:color="auto" w:fill="FFFFFF"/>
        </w:rPr>
        <w:t xml:space="preserve"> (Warner </w:t>
      </w:r>
      <w:r w:rsidR="00F17E6B">
        <w:rPr>
          <w:rFonts w:ascii="Times" w:eastAsia="Times New Roman" w:hAnsi="Times"/>
          <w:color w:val="222222"/>
          <w:shd w:val="clear" w:color="auto" w:fill="FFFFFF"/>
        </w:rPr>
        <w:t>et al., 201</w:t>
      </w:r>
      <w:r w:rsidR="00D16407">
        <w:rPr>
          <w:rFonts w:ascii="Times" w:eastAsia="Times New Roman" w:hAnsi="Times"/>
          <w:color w:val="222222"/>
          <w:shd w:val="clear" w:color="auto" w:fill="FFFFFF"/>
        </w:rPr>
        <w:t>7)</w:t>
      </w:r>
      <w:r w:rsidR="00D16407">
        <w:rPr>
          <w:rStyle w:val="FootnoteReference"/>
          <w:rFonts w:ascii="Times" w:eastAsia="Times New Roman" w:hAnsi="Times"/>
          <w:color w:val="222222"/>
          <w:shd w:val="clear" w:color="auto" w:fill="FFFFFF"/>
        </w:rPr>
        <w:footnoteReference w:id="3"/>
      </w:r>
      <w:r w:rsidRPr="00CF0039">
        <w:rPr>
          <w:rFonts w:ascii="Times" w:eastAsia="Times New Roman" w:hAnsi="Times"/>
          <w:color w:val="222222"/>
          <w:shd w:val="clear" w:color="auto" w:fill="FFFFFF"/>
        </w:rPr>
        <w:t xml:space="preserve"> indicated that </w:t>
      </w:r>
      <w:r w:rsidR="00B85F82" w:rsidRPr="00CF0039">
        <w:rPr>
          <w:rFonts w:ascii="Times" w:eastAsia="Times New Roman" w:hAnsi="Times"/>
          <w:color w:val="222222"/>
          <w:shd w:val="clear" w:color="auto" w:fill="FFFFFF"/>
        </w:rPr>
        <w:t>62</w:t>
      </w:r>
      <w:r w:rsidR="00D66B5F">
        <w:rPr>
          <w:rFonts w:ascii="Times" w:eastAsia="Times New Roman" w:hAnsi="Times"/>
          <w:color w:val="222222"/>
          <w:shd w:val="clear" w:color="auto" w:fill="FFFFFF"/>
        </w:rPr>
        <w:t xml:space="preserve"> percent</w:t>
      </w:r>
      <w:r w:rsidR="00B85F82" w:rsidRPr="00CF0039">
        <w:rPr>
          <w:rFonts w:ascii="Times" w:eastAsia="Times New Roman" w:hAnsi="Times"/>
          <w:color w:val="222222"/>
          <w:shd w:val="clear" w:color="auto" w:fill="FFFFFF"/>
        </w:rPr>
        <w:t xml:space="preserve"> of respondents provided a sentencing outcome that was more lenient than that imposed the judge, while 36</w:t>
      </w:r>
      <w:r w:rsidR="00D66B5F">
        <w:rPr>
          <w:rFonts w:ascii="Times" w:eastAsia="Times New Roman" w:hAnsi="Times"/>
          <w:color w:val="222222"/>
          <w:shd w:val="clear" w:color="auto" w:fill="FFFFFF"/>
        </w:rPr>
        <w:t xml:space="preserve"> percent</w:t>
      </w:r>
      <w:r w:rsidR="00B85F82" w:rsidRPr="00CF0039">
        <w:rPr>
          <w:rFonts w:ascii="Times" w:eastAsia="Times New Roman" w:hAnsi="Times"/>
          <w:color w:val="222222"/>
          <w:shd w:val="clear" w:color="auto" w:fill="FFFFFF"/>
        </w:rPr>
        <w:t xml:space="preserve"> imposed a sentence that was more severe. </w:t>
      </w:r>
      <w:r w:rsidR="0094300E" w:rsidRPr="00CF0039">
        <w:rPr>
          <w:rFonts w:ascii="Times" w:eastAsia="Times New Roman" w:hAnsi="Times"/>
          <w:color w:val="222222"/>
          <w:shd w:val="clear" w:color="auto" w:fill="FFFFFF"/>
        </w:rPr>
        <w:t>There were significant differences in outcomes on the basis of offence type, with only 50</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of respondents imposing a more lenient sentence in sex offence cases, compared with 71</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in violent offences and 68</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in other cases. There were further differences on the basis of the type of sex offences, with respondents particularly likely to desire harsher penalties for offences involving children under the age of 12 (63</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imposed a harsher sentence than the judge, compared with 37</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doing so in cases involving rape against an adult and 44</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in cases involving child sexual assault with a victim aged over 12). When respondents were asked to compare their hypothetical sentence with the actual sentence imposed by the judge (n=423), 87</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indicated that they considered the judge’s sentence to be appropriate (55</w:t>
      </w:r>
      <w:r w:rsidR="00D66B5F">
        <w:rPr>
          <w:rFonts w:ascii="Times" w:eastAsia="Times New Roman" w:hAnsi="Times"/>
          <w:color w:val="222222"/>
          <w:shd w:val="clear" w:color="auto" w:fill="FFFFFF"/>
        </w:rPr>
        <w:t xml:space="preserve"> percent</w:t>
      </w:r>
      <w:r w:rsidR="0094300E" w:rsidRPr="00CF0039">
        <w:rPr>
          <w:rFonts w:ascii="Times" w:eastAsia="Times New Roman" w:hAnsi="Times"/>
          <w:color w:val="222222"/>
          <w:shd w:val="clear" w:color="auto" w:fill="FFFFFF"/>
        </w:rPr>
        <w:t xml:space="preserve"> said it was very appropriate).</w:t>
      </w:r>
    </w:p>
    <w:p w14:paraId="4A8117C4" w14:textId="1D3B880A" w:rsidR="00951CF4" w:rsidRDefault="00951CF4" w:rsidP="00BB43A1">
      <w:pPr>
        <w:spacing w:after="120" w:line="360" w:lineRule="auto"/>
        <w:rPr>
          <w:rFonts w:ascii="Times" w:eastAsia="Times New Roman" w:hAnsi="Times"/>
          <w:color w:val="222222"/>
          <w:shd w:val="clear" w:color="auto" w:fill="FFFFFF"/>
        </w:rPr>
      </w:pPr>
      <w:r>
        <w:rPr>
          <w:rFonts w:ascii="Times" w:eastAsia="Times New Roman" w:hAnsi="Times"/>
          <w:color w:val="222222"/>
          <w:shd w:val="clear" w:color="auto" w:fill="FFFFFF"/>
        </w:rPr>
        <w:t>Sentences for sexual offences in Victoria were also the focus of a</w:t>
      </w:r>
      <w:r w:rsidR="00F17E6B">
        <w:rPr>
          <w:rFonts w:ascii="Times" w:eastAsia="Times New Roman" w:hAnsi="Times"/>
          <w:color w:val="222222"/>
          <w:shd w:val="clear" w:color="auto" w:fill="FFFFFF"/>
        </w:rPr>
        <w:t>, 201</w:t>
      </w:r>
      <w:r w:rsidR="00A75732">
        <w:rPr>
          <w:rFonts w:ascii="Times" w:eastAsia="Times New Roman" w:hAnsi="Times"/>
          <w:color w:val="222222"/>
          <w:shd w:val="clear" w:color="auto" w:fill="FFFFFF"/>
        </w:rPr>
        <w:t>5 study by Devilly and Le Grand</w:t>
      </w:r>
      <w:r>
        <w:rPr>
          <w:rFonts w:ascii="Times" w:eastAsia="Times New Roman" w:hAnsi="Times"/>
          <w:color w:val="222222"/>
          <w:shd w:val="clear" w:color="auto" w:fill="FFFFFF"/>
        </w:rPr>
        <w:t>. This</w:t>
      </w:r>
      <w:r w:rsidR="00A75732">
        <w:rPr>
          <w:rFonts w:ascii="Times" w:eastAsia="Times New Roman" w:hAnsi="Times"/>
          <w:color w:val="222222"/>
          <w:shd w:val="clear" w:color="auto" w:fill="FFFFFF"/>
        </w:rPr>
        <w:t xml:space="preserve"> </w:t>
      </w:r>
      <w:r>
        <w:rPr>
          <w:rFonts w:ascii="Times" w:eastAsia="Times New Roman" w:hAnsi="Times"/>
          <w:color w:val="222222"/>
          <w:shd w:val="clear" w:color="auto" w:fill="FFFFFF"/>
        </w:rPr>
        <w:t xml:space="preserve">involved </w:t>
      </w:r>
      <w:r w:rsidR="00A75732">
        <w:rPr>
          <w:rFonts w:ascii="Times" w:eastAsia="Times New Roman" w:hAnsi="Times"/>
          <w:color w:val="222222"/>
          <w:shd w:val="clear" w:color="auto" w:fill="FFFFFF"/>
        </w:rPr>
        <w:t xml:space="preserve">a representative sample of </w:t>
      </w:r>
      <w:r>
        <w:rPr>
          <w:rFonts w:ascii="Times" w:eastAsia="Times New Roman" w:hAnsi="Times"/>
          <w:color w:val="222222"/>
          <w:shd w:val="clear" w:color="auto" w:fill="FFFFFF"/>
        </w:rPr>
        <w:t>115 people</w:t>
      </w:r>
      <w:r w:rsidR="00A75732">
        <w:rPr>
          <w:rFonts w:ascii="Times" w:eastAsia="Times New Roman" w:hAnsi="Times"/>
          <w:color w:val="222222"/>
          <w:shd w:val="clear" w:color="auto" w:fill="FFFFFF"/>
        </w:rPr>
        <w:t xml:space="preserve"> </w:t>
      </w:r>
      <w:r>
        <w:rPr>
          <w:rFonts w:ascii="Times" w:eastAsia="Times New Roman" w:hAnsi="Times"/>
          <w:color w:val="222222"/>
          <w:shd w:val="clear" w:color="auto" w:fill="FFFFFF"/>
        </w:rPr>
        <w:t xml:space="preserve">who </w:t>
      </w:r>
      <w:r w:rsidR="00A75732">
        <w:rPr>
          <w:rFonts w:ascii="Times" w:eastAsia="Times New Roman" w:hAnsi="Times"/>
          <w:color w:val="222222"/>
          <w:shd w:val="clear" w:color="auto" w:fill="FFFFFF"/>
        </w:rPr>
        <w:t xml:space="preserve">were asked to rate four sexual assault </w:t>
      </w:r>
      <w:r>
        <w:rPr>
          <w:rFonts w:ascii="Times" w:eastAsia="Times New Roman" w:hAnsi="Times"/>
          <w:color w:val="222222"/>
          <w:shd w:val="clear" w:color="auto" w:fill="FFFFFF"/>
        </w:rPr>
        <w:t xml:space="preserve">vignettes in relation to sentencing outcomes. This demonstrated that </w:t>
      </w:r>
      <w:r w:rsidR="00D044DE">
        <w:rPr>
          <w:rFonts w:ascii="Times" w:eastAsia="Times New Roman" w:hAnsi="Times"/>
          <w:color w:val="222222"/>
          <w:shd w:val="clear" w:color="auto" w:fill="FFFFFF"/>
        </w:rPr>
        <w:t>the public’s sentences were very similar to the actual sentence imposed by the judge in three cases, while the fourth was more lenient (a mean imprisonment length of 16.5 years, compared with the judge’s sentence of 25 years</w:t>
      </w:r>
      <w:r w:rsidR="00312768">
        <w:rPr>
          <w:rFonts w:ascii="Times" w:eastAsia="Times New Roman" w:hAnsi="Times"/>
          <w:color w:val="222222"/>
          <w:shd w:val="clear" w:color="auto" w:fill="FFFFFF"/>
        </w:rPr>
        <w:t>)</w:t>
      </w:r>
      <w:r w:rsidR="00D044DE">
        <w:rPr>
          <w:rFonts w:ascii="Times" w:eastAsia="Times New Roman" w:hAnsi="Times"/>
          <w:color w:val="222222"/>
          <w:shd w:val="clear" w:color="auto" w:fill="FFFFFF"/>
        </w:rPr>
        <w:t>.</w:t>
      </w:r>
      <w:r w:rsidR="00312768">
        <w:rPr>
          <w:rFonts w:ascii="Times" w:eastAsia="Times New Roman" w:hAnsi="Times"/>
          <w:color w:val="222222"/>
          <w:shd w:val="clear" w:color="auto" w:fill="FFFFFF"/>
        </w:rPr>
        <w:t xml:space="preserve"> The authors concluded that were ‘inconsistent with the notion that “judges are soft on crime”</w:t>
      </w:r>
      <w:r w:rsidR="00CE3052">
        <w:rPr>
          <w:rFonts w:ascii="Times" w:eastAsia="Times New Roman" w:hAnsi="Times"/>
          <w:color w:val="222222"/>
          <w:shd w:val="clear" w:color="auto" w:fill="FFFFFF"/>
        </w:rPr>
        <w:t>’ (2015: 195).</w:t>
      </w:r>
    </w:p>
    <w:p w14:paraId="63F23123" w14:textId="0C032E60" w:rsidR="007503E6" w:rsidRPr="006E1D44" w:rsidRDefault="00312768" w:rsidP="00BB43A1">
      <w:pPr>
        <w:spacing w:after="120" w:line="360" w:lineRule="auto"/>
        <w:rPr>
          <w:rFonts w:ascii="Times" w:eastAsia="Times New Roman" w:hAnsi="Times"/>
          <w:color w:val="222222"/>
          <w:shd w:val="clear" w:color="auto" w:fill="FFFFFF"/>
        </w:rPr>
      </w:pPr>
      <w:r>
        <w:rPr>
          <w:rFonts w:ascii="Times" w:eastAsia="Times New Roman" w:hAnsi="Times"/>
          <w:color w:val="222222"/>
          <w:shd w:val="clear" w:color="auto" w:fill="FFFFFF"/>
        </w:rPr>
        <w:lastRenderedPageBreak/>
        <w:t xml:space="preserve">A national </w:t>
      </w:r>
      <w:r w:rsidR="00951CF4" w:rsidRPr="00CF0039">
        <w:rPr>
          <w:rFonts w:ascii="Times" w:eastAsia="Times New Roman" w:hAnsi="Times"/>
          <w:color w:val="222222"/>
          <w:shd w:val="clear" w:color="auto" w:fill="FFFFFF"/>
        </w:rPr>
        <w:t>Australian study on jurors’ attitudes to sentences for sex offences</w:t>
      </w:r>
      <w:r w:rsidR="00951CF4">
        <w:rPr>
          <w:rFonts w:ascii="Times" w:eastAsia="Times New Roman" w:hAnsi="Times"/>
          <w:color w:val="222222"/>
          <w:shd w:val="clear" w:color="auto" w:fill="FFFFFF"/>
        </w:rPr>
        <w:t xml:space="preserve"> </w:t>
      </w:r>
      <w:r>
        <w:rPr>
          <w:rFonts w:ascii="Times" w:eastAsia="Times New Roman" w:hAnsi="Times"/>
          <w:color w:val="222222"/>
          <w:shd w:val="clear" w:color="auto" w:fill="FFFFFF"/>
        </w:rPr>
        <w:t xml:space="preserve">is currently underway </w:t>
      </w:r>
      <w:r w:rsidR="00951CF4">
        <w:rPr>
          <w:rFonts w:ascii="Times" w:eastAsia="Times New Roman" w:hAnsi="Times"/>
          <w:color w:val="222222"/>
          <w:shd w:val="clear" w:color="auto" w:fill="FFFFFF"/>
        </w:rPr>
        <w:t>(</w:t>
      </w:r>
      <w:r>
        <w:rPr>
          <w:rFonts w:ascii="Times" w:eastAsia="Times New Roman" w:hAnsi="Times"/>
          <w:color w:val="222222"/>
          <w:shd w:val="clear" w:color="auto" w:fill="FFFFFF"/>
        </w:rPr>
        <w:t xml:space="preserve">see </w:t>
      </w:r>
      <w:r w:rsidR="00951CF4">
        <w:rPr>
          <w:rFonts w:ascii="Times" w:eastAsia="Times New Roman" w:hAnsi="Times"/>
          <w:color w:val="222222"/>
          <w:shd w:val="clear" w:color="auto" w:fill="FFFFFF"/>
        </w:rPr>
        <w:t>Bartels, Warner and Zdenkowski</w:t>
      </w:r>
      <w:r w:rsidR="00F17E6B">
        <w:rPr>
          <w:rFonts w:ascii="Times" w:eastAsia="Times New Roman" w:hAnsi="Times"/>
          <w:color w:val="222222"/>
          <w:shd w:val="clear" w:color="auto" w:fill="FFFFFF"/>
        </w:rPr>
        <w:t>, 201</w:t>
      </w:r>
      <w:r w:rsidR="00951CF4">
        <w:rPr>
          <w:rFonts w:ascii="Times" w:eastAsia="Times New Roman" w:hAnsi="Times"/>
          <w:color w:val="222222"/>
          <w:shd w:val="clear" w:color="auto" w:fill="FFFFFF"/>
        </w:rPr>
        <w:t>4; Warner</w:t>
      </w:r>
      <w:r w:rsidR="00F17E6B">
        <w:rPr>
          <w:rFonts w:ascii="Times" w:eastAsia="Times New Roman" w:hAnsi="Times"/>
          <w:color w:val="222222"/>
          <w:shd w:val="clear" w:color="auto" w:fill="FFFFFF"/>
        </w:rPr>
        <w:t>, 201</w:t>
      </w:r>
      <w:r w:rsidR="00951CF4">
        <w:rPr>
          <w:rFonts w:ascii="Times" w:eastAsia="Times New Roman" w:hAnsi="Times"/>
          <w:color w:val="222222"/>
          <w:shd w:val="clear" w:color="auto" w:fill="FFFFFF"/>
        </w:rPr>
        <w:t>4)</w:t>
      </w:r>
      <w:r w:rsidR="00951CF4" w:rsidRPr="00CF0039">
        <w:rPr>
          <w:rFonts w:ascii="Times" w:eastAsia="Times New Roman" w:hAnsi="Times"/>
          <w:color w:val="222222"/>
          <w:shd w:val="clear" w:color="auto" w:fill="FFFFFF"/>
        </w:rPr>
        <w:t>.</w:t>
      </w:r>
      <w:r w:rsidR="00951CF4" w:rsidRPr="00CF0039">
        <w:rPr>
          <w:rStyle w:val="FootnoteReference"/>
          <w:rFonts w:ascii="Times" w:eastAsia="Times New Roman" w:hAnsi="Times"/>
          <w:color w:val="222222"/>
          <w:shd w:val="clear" w:color="auto" w:fill="FFFFFF"/>
        </w:rPr>
        <w:footnoteReference w:id="4"/>
      </w:r>
      <w:r w:rsidR="00951CF4" w:rsidRPr="00CF0039">
        <w:rPr>
          <w:rFonts w:ascii="Times" w:eastAsia="Times New Roman" w:hAnsi="Times"/>
          <w:color w:val="222222"/>
          <w:shd w:val="clear" w:color="auto" w:fill="FFFFFF"/>
        </w:rPr>
        <w:t xml:space="preserve"> </w:t>
      </w:r>
      <w:r w:rsidR="006E79D3">
        <w:rPr>
          <w:rFonts w:ascii="Times" w:eastAsia="Times New Roman" w:hAnsi="Times"/>
          <w:color w:val="222222"/>
          <w:shd w:val="clear" w:color="auto" w:fill="FFFFFF"/>
        </w:rPr>
        <w:t xml:space="preserve">The key research questions for this study include whether informed members of the public consider sentencing for sexual offences to be too lenient; </w:t>
      </w:r>
      <w:r w:rsidR="00067F97">
        <w:rPr>
          <w:rFonts w:ascii="Times" w:eastAsia="Times New Roman" w:hAnsi="Times"/>
          <w:color w:val="222222"/>
          <w:shd w:val="clear" w:color="auto" w:fill="FFFFFF"/>
        </w:rPr>
        <w:t xml:space="preserve">whether </w:t>
      </w:r>
      <w:r w:rsidR="006E79D3">
        <w:rPr>
          <w:rFonts w:ascii="Times" w:eastAsia="Times New Roman" w:hAnsi="Times"/>
          <w:color w:val="222222"/>
          <w:shd w:val="clear" w:color="auto" w:fill="FFFFFF"/>
        </w:rPr>
        <w:t xml:space="preserve">there are differences in perceptions on the basis of the type of sexual offence; and </w:t>
      </w:r>
      <w:r w:rsidR="00067F97">
        <w:rPr>
          <w:rFonts w:ascii="Times" w:eastAsia="Times New Roman" w:hAnsi="Times"/>
          <w:color w:val="222222"/>
          <w:shd w:val="clear" w:color="auto" w:fill="FFFFFF"/>
        </w:rPr>
        <w:t xml:space="preserve">whether there are </w:t>
      </w:r>
      <w:r w:rsidR="006E79D3">
        <w:rPr>
          <w:rFonts w:ascii="Times" w:eastAsia="Times New Roman" w:hAnsi="Times"/>
          <w:color w:val="222222"/>
          <w:shd w:val="clear" w:color="auto" w:fill="FFFFFF"/>
        </w:rPr>
        <w:t xml:space="preserve">any jurisdictional differences in perceptions of leniency for such offences. </w:t>
      </w:r>
      <w:r w:rsidR="00951CF4" w:rsidRPr="006E1D44">
        <w:rPr>
          <w:rFonts w:ascii="Times" w:eastAsia="Times New Roman" w:hAnsi="Times"/>
          <w:color w:val="222222"/>
          <w:shd w:val="clear" w:color="auto" w:fill="FFFFFF"/>
        </w:rPr>
        <w:t>Analysis of the data in this study is expected to commence in early</w:t>
      </w:r>
      <w:r w:rsidR="00F17E6B">
        <w:rPr>
          <w:rFonts w:ascii="Times" w:eastAsia="Times New Roman" w:hAnsi="Times"/>
          <w:color w:val="222222"/>
          <w:shd w:val="clear" w:color="auto" w:fill="FFFFFF"/>
        </w:rPr>
        <w:t xml:space="preserve"> 201</w:t>
      </w:r>
      <w:r w:rsidR="00951CF4" w:rsidRPr="006E1D44">
        <w:rPr>
          <w:rFonts w:ascii="Times" w:eastAsia="Times New Roman" w:hAnsi="Times"/>
          <w:color w:val="222222"/>
          <w:shd w:val="clear" w:color="auto" w:fill="FFFFFF"/>
        </w:rPr>
        <w:t>8.</w:t>
      </w:r>
    </w:p>
    <w:p w14:paraId="2B21E0F4" w14:textId="3B379F53" w:rsidR="00F3455D" w:rsidRPr="00CF0039" w:rsidRDefault="00F3455D" w:rsidP="00BB43A1">
      <w:pPr>
        <w:spacing w:after="120" w:line="360" w:lineRule="auto"/>
        <w:rPr>
          <w:rFonts w:ascii="Times" w:eastAsia="Times New Roman" w:hAnsi="Times"/>
          <w:color w:val="222222"/>
          <w:shd w:val="clear" w:color="auto" w:fill="FFFFFF"/>
        </w:rPr>
      </w:pPr>
      <w:r w:rsidRPr="006E1D44">
        <w:rPr>
          <w:rFonts w:ascii="Times" w:eastAsia="Times New Roman" w:hAnsi="Times"/>
          <w:color w:val="222222"/>
          <w:shd w:val="clear" w:color="auto" w:fill="FFFFFF"/>
        </w:rPr>
        <w:t xml:space="preserve">While sentencing research is more established in Australia, gathering empirical information on public attitudes toward parole has become germane as a result of recent </w:t>
      </w:r>
      <w:r w:rsidR="00C36237">
        <w:rPr>
          <w:rFonts w:ascii="Times" w:eastAsia="Times New Roman" w:hAnsi="Times"/>
          <w:color w:val="222222"/>
          <w:shd w:val="clear" w:color="auto" w:fill="FFFFFF"/>
        </w:rPr>
        <w:t xml:space="preserve">events with respect to parole. </w:t>
      </w:r>
      <w:r w:rsidRPr="006E1D44">
        <w:rPr>
          <w:rFonts w:ascii="Times" w:eastAsia="Times New Roman" w:hAnsi="Times"/>
          <w:color w:val="222222"/>
          <w:shd w:val="clear" w:color="auto" w:fill="FFFFFF"/>
        </w:rPr>
        <w:t>We now turn to this context.</w:t>
      </w:r>
    </w:p>
    <w:p w14:paraId="40A5B9F8" w14:textId="77777777" w:rsidR="00D015EB" w:rsidRPr="00C5488C" w:rsidRDefault="00D015EB" w:rsidP="00D015EB">
      <w:pPr>
        <w:pStyle w:val="Heading1"/>
        <w:rPr>
          <w:color w:val="000000" w:themeColor="text1"/>
        </w:rPr>
      </w:pPr>
      <w:r w:rsidRPr="00C5488C">
        <w:rPr>
          <w:color w:val="000000" w:themeColor="text1"/>
        </w:rPr>
        <w:t>The Australian legislative and policy parole landscape</w:t>
      </w:r>
    </w:p>
    <w:p w14:paraId="17343730" w14:textId="79F2B0B7" w:rsidR="00F45A84" w:rsidRPr="0084338A" w:rsidRDefault="00F45A84" w:rsidP="00F45A84">
      <w:pPr>
        <w:spacing w:after="120" w:line="360" w:lineRule="auto"/>
        <w:rPr>
          <w:rFonts w:ascii="Times" w:hAnsi="Times"/>
        </w:rPr>
      </w:pPr>
      <w:r w:rsidRPr="0084338A">
        <w:rPr>
          <w:rFonts w:ascii="Times" w:hAnsi="Times"/>
        </w:rPr>
        <w:t xml:space="preserve">Parole is a form of conditional release of offenders sentenced to a term of imprisonment which allows an offender to serve the whole or part of their sentence in the community, subject to conditions. It plays a significant part in the Australian criminal justice system. In </w:t>
      </w:r>
      <w:r w:rsidR="00F3455D">
        <w:rPr>
          <w:rFonts w:ascii="Times" w:hAnsi="Times"/>
        </w:rPr>
        <w:t>June</w:t>
      </w:r>
      <w:r w:rsidR="00F17E6B">
        <w:rPr>
          <w:rFonts w:ascii="Times" w:hAnsi="Times"/>
        </w:rPr>
        <w:t xml:space="preserve"> 201</w:t>
      </w:r>
      <w:r w:rsidRPr="0084338A">
        <w:rPr>
          <w:rFonts w:ascii="Times" w:hAnsi="Times"/>
        </w:rPr>
        <w:t>7, there were 14,</w:t>
      </w:r>
      <w:r w:rsidR="00F3455D">
        <w:rPr>
          <w:rFonts w:ascii="Times" w:hAnsi="Times"/>
        </w:rPr>
        <w:t>87</w:t>
      </w:r>
      <w:r w:rsidRPr="0084338A">
        <w:rPr>
          <w:rFonts w:ascii="Times" w:hAnsi="Times"/>
        </w:rPr>
        <w:t>1 persons on parole across Australia</w:t>
      </w:r>
      <w:r w:rsidR="003815B8">
        <w:rPr>
          <w:rFonts w:ascii="Times" w:hAnsi="Times"/>
        </w:rPr>
        <w:t xml:space="preserve"> (ABS</w:t>
      </w:r>
      <w:r w:rsidR="00F17E6B">
        <w:rPr>
          <w:rFonts w:ascii="Times" w:hAnsi="Times"/>
        </w:rPr>
        <w:t>, 201</w:t>
      </w:r>
      <w:r w:rsidR="003815B8">
        <w:rPr>
          <w:rFonts w:ascii="Times" w:hAnsi="Times"/>
        </w:rPr>
        <w:t>7</w:t>
      </w:r>
      <w:r w:rsidR="00F3455D">
        <w:rPr>
          <w:rFonts w:ascii="Times" w:hAnsi="Times"/>
        </w:rPr>
        <w:t>b</w:t>
      </w:r>
      <w:r w:rsidR="003815B8">
        <w:rPr>
          <w:rFonts w:ascii="Times" w:hAnsi="Times"/>
        </w:rPr>
        <w:t>)</w:t>
      </w:r>
      <w:r w:rsidRPr="0084338A">
        <w:rPr>
          <w:rFonts w:ascii="Times" w:hAnsi="Times"/>
        </w:rPr>
        <w:t xml:space="preserve">. With </w:t>
      </w:r>
      <w:r>
        <w:rPr>
          <w:rFonts w:ascii="Times" w:hAnsi="Times"/>
        </w:rPr>
        <w:t>rising</w:t>
      </w:r>
      <w:r w:rsidRPr="0084338A">
        <w:rPr>
          <w:rFonts w:ascii="Times" w:hAnsi="Times"/>
        </w:rPr>
        <w:t xml:space="preserve"> prisoner numbers</w:t>
      </w:r>
      <w:r>
        <w:rPr>
          <w:rFonts w:ascii="Times" w:hAnsi="Times"/>
        </w:rPr>
        <w:t>,</w:t>
      </w:r>
      <w:r w:rsidRPr="0084338A">
        <w:rPr>
          <w:rFonts w:ascii="Times" w:hAnsi="Times"/>
        </w:rPr>
        <w:t xml:space="preserve"> the number of persons on parole, or considered to be eligible for parole, is only likely to increase.</w:t>
      </w:r>
    </w:p>
    <w:p w14:paraId="63FCE05B" w14:textId="67DB72FB" w:rsidR="00D66B5F" w:rsidRDefault="000B07B1" w:rsidP="007E25EA">
      <w:pPr>
        <w:pStyle w:val="Para15"/>
      </w:pPr>
      <w:r>
        <w:t xml:space="preserve">Almost all </w:t>
      </w:r>
      <w:r w:rsidR="00F23A9D">
        <w:t xml:space="preserve">of Australia’s </w:t>
      </w:r>
      <w:r w:rsidR="00D66B5F">
        <w:t xml:space="preserve">eight </w:t>
      </w:r>
      <w:r w:rsidR="00F23A9D">
        <w:t xml:space="preserve">states and territories </w:t>
      </w:r>
      <w:r>
        <w:t>have some form of legislatively established independent parole release authority</w:t>
      </w:r>
      <w:r w:rsidR="003815B8">
        <w:t xml:space="preserve"> (most commonly known as parole boards),</w:t>
      </w:r>
      <w:r>
        <w:t xml:space="preserve"> usually comprised of retired judicial officers, full</w:t>
      </w:r>
      <w:r w:rsidR="003815B8">
        <w:t>-</w:t>
      </w:r>
      <w:r>
        <w:t xml:space="preserve">time members of the parole authority and community members reflecting a wide range of interests and skills. </w:t>
      </w:r>
      <w:r w:rsidR="00914B99">
        <w:t>There is n</w:t>
      </w:r>
      <w:r>
        <w:t xml:space="preserve">o parole board </w:t>
      </w:r>
      <w:r w:rsidR="00D66B5F">
        <w:t xml:space="preserve">in relation to federal offences </w:t>
      </w:r>
      <w:r>
        <w:t xml:space="preserve">and the final decision as to release rests with a political officer, the </w:t>
      </w:r>
      <w:r w:rsidR="00D66B5F">
        <w:t xml:space="preserve">Federal </w:t>
      </w:r>
      <w:r>
        <w:t xml:space="preserve">Attorney-General. </w:t>
      </w:r>
    </w:p>
    <w:p w14:paraId="3BA196C1" w14:textId="4F90FA06" w:rsidR="00D66B5F" w:rsidRPr="001F10E7" w:rsidRDefault="000B07B1" w:rsidP="007E25EA">
      <w:pPr>
        <w:pStyle w:val="Para15"/>
      </w:pPr>
      <w:r>
        <w:t>Depending on the jurisdiction, parole release may be automatic at the end of a legislatively specified period</w:t>
      </w:r>
      <w:r w:rsidR="00C632D8">
        <w:t xml:space="preserve"> (generally only for shorter sentences: see Bartels</w:t>
      </w:r>
      <w:r w:rsidR="00F17E6B">
        <w:t>, 201</w:t>
      </w:r>
      <w:r w:rsidR="00C632D8">
        <w:t>3; Freiberg</w:t>
      </w:r>
      <w:r w:rsidR="00F17E6B">
        <w:t>, 201</w:t>
      </w:r>
      <w:r w:rsidR="00C632D8">
        <w:t>6)</w:t>
      </w:r>
      <w:r>
        <w:t xml:space="preserve">, or </w:t>
      </w:r>
      <w:r w:rsidR="00D66B5F">
        <w:t>at</w:t>
      </w:r>
      <w:r>
        <w:t xml:space="preserve"> the discretion of a parole board, at the expiration of a minimum term or non-parole period set by a court</w:t>
      </w:r>
      <w:r w:rsidR="00742FE5">
        <w:t xml:space="preserve">. The High Court of Australia has described the latter </w:t>
      </w:r>
      <w:r>
        <w:t xml:space="preserve">as the </w:t>
      </w:r>
      <w:r w:rsidRPr="000B07B1">
        <w:t xml:space="preserve">‘minimum period of imprisonment to be served because </w:t>
      </w:r>
      <w:r w:rsidRPr="00742FE5">
        <w:t>the sentencing judge considers that the crime committed calls for such detention’</w:t>
      </w:r>
      <w:r w:rsidR="00742FE5" w:rsidRPr="00742FE5">
        <w:t xml:space="preserve"> (</w:t>
      </w:r>
      <w:r w:rsidR="00742FE5" w:rsidRPr="00742FE5">
        <w:rPr>
          <w:i/>
        </w:rPr>
        <w:t>Power v The Queen</w:t>
      </w:r>
      <w:r w:rsidR="00F17E6B">
        <w:t>,</w:t>
      </w:r>
      <w:r w:rsidR="00A6011C">
        <w:t xml:space="preserve"> 1974</w:t>
      </w:r>
      <w:r w:rsidR="00742FE5" w:rsidRPr="00742FE5">
        <w:t>: 628)</w:t>
      </w:r>
      <w:r w:rsidRPr="00742FE5">
        <w:t>.</w:t>
      </w:r>
      <w:r w:rsidR="0066103B" w:rsidRPr="00742FE5">
        <w:t xml:space="preserve"> </w:t>
      </w:r>
      <w:r w:rsidR="0016324D">
        <w:t>Automatic c</w:t>
      </w:r>
      <w:r w:rsidR="0066103B">
        <w:t>ourt-</w:t>
      </w:r>
      <w:r w:rsidR="0016324D">
        <w:t xml:space="preserve">ordered parole is currently available in </w:t>
      </w:r>
      <w:r w:rsidR="0016324D">
        <w:lastRenderedPageBreak/>
        <w:t>three jurisdictions (NSW, Queensland and South Australia). In</w:t>
      </w:r>
      <w:r w:rsidR="0066103B">
        <w:t xml:space="preserve"> an inquiry on Indigenous </w:t>
      </w:r>
      <w:r w:rsidR="0016324D">
        <w:t>incarceration rates, the Australian Law Reform Commission recently proposed that all states and territories adopt this model</w:t>
      </w:r>
      <w:r w:rsidR="00BF3861">
        <w:t xml:space="preserve"> (</w:t>
      </w:r>
      <w:r w:rsidR="00BF3861" w:rsidRPr="001F10E7">
        <w:t>2017: Proposal 5-3)</w:t>
      </w:r>
      <w:r w:rsidR="0016324D" w:rsidRPr="001F10E7">
        <w:t>.</w:t>
      </w:r>
    </w:p>
    <w:p w14:paraId="1E1A2A39" w14:textId="423AC790" w:rsidR="00D015EB" w:rsidRPr="00486CB9" w:rsidRDefault="000B07B1" w:rsidP="007E25EA">
      <w:pPr>
        <w:pStyle w:val="Para15"/>
      </w:pPr>
      <w:r w:rsidRPr="001F10E7">
        <w:t>Court</w:t>
      </w:r>
      <w:r w:rsidR="00F15C0D">
        <w:t>-</w:t>
      </w:r>
      <w:r>
        <w:t>imposed non-parole periods tend to range from 50</w:t>
      </w:r>
      <w:r w:rsidR="00D66B5F">
        <w:t xml:space="preserve"> </w:t>
      </w:r>
      <w:r>
        <w:t>to 80</w:t>
      </w:r>
      <w:r w:rsidR="00D66B5F">
        <w:t xml:space="preserve"> percent</w:t>
      </w:r>
      <w:r>
        <w:t xml:space="preserve"> of the total sentence imposed, but in an increasing number of instances, legislatures have become more prescriptive in their approach to the setting of such terms, setting them at half or more of the </w:t>
      </w:r>
      <w:r w:rsidR="00581F33">
        <w:t>total sentence</w:t>
      </w:r>
      <w:r>
        <w:t xml:space="preserve"> imposed by the court. </w:t>
      </w:r>
      <w:r w:rsidR="00581F33">
        <w:t>L</w:t>
      </w:r>
      <w:r>
        <w:t xml:space="preserve">egislatures have </w:t>
      </w:r>
      <w:r w:rsidR="00581F33">
        <w:t xml:space="preserve">also </w:t>
      </w:r>
      <w:r>
        <w:t xml:space="preserve">introduced mandatory or presumptive non-parole periods. Under some schemes, the length of the non-parole period is specifically prescribed in legislation </w:t>
      </w:r>
      <w:r w:rsidR="00581F33">
        <w:t xml:space="preserve">(eg, a mandatory minimum non-parole period of 20 years for murder in South Australia), </w:t>
      </w:r>
      <w:r>
        <w:t>while in others a set percentage of the head sentence must be served before the offender is eligible for parole</w:t>
      </w:r>
      <w:r w:rsidR="00581F33">
        <w:t xml:space="preserve"> (eg at least 80 percent of the total sentence for serious violent offences in Queensland)</w:t>
      </w:r>
      <w:r>
        <w:t>.</w:t>
      </w:r>
    </w:p>
    <w:p w14:paraId="679FA24A" w14:textId="5BD0ACF0" w:rsidR="00D015EB" w:rsidRDefault="00386C44" w:rsidP="009F3D80">
      <w:pPr>
        <w:pStyle w:val="Para15"/>
      </w:pPr>
      <w:r>
        <w:t>A number of high-</w:t>
      </w:r>
      <w:r w:rsidR="009F3D80" w:rsidRPr="009F3D80">
        <w:t>profile cases of offending on parole have precipitated extensive changes in parole systems.</w:t>
      </w:r>
      <w:r w:rsidR="009F3D80">
        <w:rPr>
          <w:i/>
        </w:rPr>
        <w:t xml:space="preserve"> </w:t>
      </w:r>
      <w:r w:rsidR="00D015EB" w:rsidRPr="00486CB9">
        <w:t>Most notably, in September</w:t>
      </w:r>
      <w:r w:rsidR="00F17E6B">
        <w:t xml:space="preserve"> 201</w:t>
      </w:r>
      <w:r w:rsidR="00D015EB" w:rsidRPr="00F15C0D">
        <w:t xml:space="preserve">2, </w:t>
      </w:r>
      <w:r w:rsidR="009F3D80" w:rsidRPr="009F3D80">
        <w:t xml:space="preserve">a young woman was raped and killed </w:t>
      </w:r>
      <w:r w:rsidR="009F3D80">
        <w:t xml:space="preserve">in Melbourne, Victoria, </w:t>
      </w:r>
      <w:r w:rsidR="009F3D80" w:rsidRPr="009F3D80">
        <w:t xml:space="preserve">by </w:t>
      </w:r>
      <w:r w:rsidR="00752BD7">
        <w:t>an offender</w:t>
      </w:r>
      <w:r w:rsidR="009F3D80" w:rsidRPr="009F3D80">
        <w:t xml:space="preserve"> who was on parole after being convicted of a series of sex offences many against sex workers.</w:t>
      </w:r>
      <w:r w:rsidR="009F3D80">
        <w:t xml:space="preserve"> </w:t>
      </w:r>
      <w:r w:rsidR="00D015EB" w:rsidRPr="00486CB9">
        <w:t>This case received extensive national and international media attention and gave rise to a major review of Victoria’s parole laws by a former High Court judge, Ian Callinan</w:t>
      </w:r>
      <w:r w:rsidR="00F15C0D">
        <w:t xml:space="preserve"> QC. The ensuing report </w:t>
      </w:r>
      <w:r w:rsidR="00D015EB" w:rsidRPr="00486CB9">
        <w:t>was highly critical of the Victorian parole system and prompted a series of punitive legislative and policy responses</w:t>
      </w:r>
      <w:r w:rsidR="00F15C0D">
        <w:t xml:space="preserve"> (Callinan</w:t>
      </w:r>
      <w:r w:rsidR="00F17E6B">
        <w:t>, 201</w:t>
      </w:r>
      <w:r w:rsidR="00F15C0D">
        <w:t>3; for discussion, see Bartels</w:t>
      </w:r>
      <w:r w:rsidR="00F17E6B">
        <w:t>, 201</w:t>
      </w:r>
      <w:r w:rsidR="00F15C0D">
        <w:t>3</w:t>
      </w:r>
      <w:r w:rsidR="00C632D8">
        <w:t>; Freiberg</w:t>
      </w:r>
      <w:r w:rsidR="00F17E6B">
        <w:t>, 201</w:t>
      </w:r>
      <w:r w:rsidR="00C632D8">
        <w:t>6</w:t>
      </w:r>
      <w:r w:rsidR="00F15C0D">
        <w:t>)</w:t>
      </w:r>
      <w:r w:rsidR="00D015EB" w:rsidRPr="00486CB9">
        <w:t>.</w:t>
      </w:r>
      <w:r w:rsidR="0079474A">
        <w:t xml:space="preserve"> </w:t>
      </w:r>
      <w:r w:rsidR="00BB43A1">
        <w:t xml:space="preserve">In fact, </w:t>
      </w:r>
      <w:r w:rsidR="0079474A" w:rsidRPr="0079474A">
        <w:t xml:space="preserve">the </w:t>
      </w:r>
      <w:r w:rsidR="00BB43A1">
        <w:t xml:space="preserve">relevant legislation, the </w:t>
      </w:r>
      <w:r w:rsidR="0079474A" w:rsidRPr="0079474A">
        <w:rPr>
          <w:i/>
        </w:rPr>
        <w:t>Corrections Act 1986</w:t>
      </w:r>
      <w:r w:rsidR="00BB43A1">
        <w:t xml:space="preserve"> (Vic),</w:t>
      </w:r>
      <w:r w:rsidR="0079474A" w:rsidRPr="0079474A">
        <w:t xml:space="preserve"> was only amended once in relation to parole between</w:t>
      </w:r>
      <w:r w:rsidR="00F17E6B">
        <w:t xml:space="preserve"> 200</w:t>
      </w:r>
      <w:r w:rsidR="0079474A" w:rsidRPr="0079474A">
        <w:t>4 and</w:t>
      </w:r>
      <w:r w:rsidR="00F17E6B">
        <w:t xml:space="preserve"> 201</w:t>
      </w:r>
      <w:r w:rsidR="0079474A" w:rsidRPr="0079474A">
        <w:t>2,</w:t>
      </w:r>
      <w:r w:rsidR="0079474A">
        <w:t xml:space="preserve"> </w:t>
      </w:r>
      <w:r w:rsidR="0079474A" w:rsidRPr="0079474A">
        <w:t>compared with 13 amendments between</w:t>
      </w:r>
      <w:r w:rsidR="00F17E6B">
        <w:t xml:space="preserve"> 201</w:t>
      </w:r>
      <w:r w:rsidR="0079474A" w:rsidRPr="0079474A">
        <w:t>2 and</w:t>
      </w:r>
      <w:r w:rsidR="00F17E6B">
        <w:t xml:space="preserve"> 201</w:t>
      </w:r>
      <w:r w:rsidR="0079474A" w:rsidRPr="0079474A">
        <w:t>7.</w:t>
      </w:r>
      <w:r w:rsidR="000B0365">
        <w:t xml:space="preserve"> </w:t>
      </w:r>
      <w:r w:rsidR="00F90A65">
        <w:t xml:space="preserve">Although </w:t>
      </w:r>
      <w:r w:rsidR="000B0365">
        <w:t xml:space="preserve">Victoria had traditionally had one of the lowest imprisonment rates in Australia, </w:t>
      </w:r>
      <w:r w:rsidR="00F90A65">
        <w:t xml:space="preserve">it has been estimated that the changes to parole eligibility added some 600 people to its prison population (see Tubex </w:t>
      </w:r>
      <w:r w:rsidR="00F17E6B">
        <w:t>et al., 201</w:t>
      </w:r>
      <w:r w:rsidR="00F90A65">
        <w:t>5).</w:t>
      </w:r>
    </w:p>
    <w:p w14:paraId="17EECFEA" w14:textId="341BBD4B" w:rsidR="00D015EB" w:rsidRDefault="00D015EB" w:rsidP="009C2563">
      <w:pPr>
        <w:pStyle w:val="ParaFollowSub"/>
      </w:pPr>
      <w:r w:rsidRPr="00486CB9">
        <w:t>I</w:t>
      </w:r>
      <w:r w:rsidR="009F3D80">
        <w:t>n</w:t>
      </w:r>
      <w:r w:rsidR="00F17E6B">
        <w:t xml:space="preserve"> 201</w:t>
      </w:r>
      <w:r w:rsidR="009F3D80">
        <w:t>6, an elderly</w:t>
      </w:r>
      <w:r w:rsidRPr="00486CB9">
        <w:t xml:space="preserve"> woman</w:t>
      </w:r>
      <w:r w:rsidR="00FE4AAA">
        <w:t xml:space="preserve"> in Queensland</w:t>
      </w:r>
      <w:r w:rsidRPr="00486CB9">
        <w:t xml:space="preserve"> was allegedly killed by a man who had been released on parole only hours earlier, prompting the Queensland Government to commission a review of its parole system by</w:t>
      </w:r>
      <w:r w:rsidR="00FF730B">
        <w:t xml:space="preserve"> former Solicitor-General</w:t>
      </w:r>
      <w:r w:rsidRPr="00486CB9">
        <w:t xml:space="preserve"> Walter Sofronoff</w:t>
      </w:r>
      <w:r w:rsidR="00FF730B">
        <w:t xml:space="preserve"> QC</w:t>
      </w:r>
      <w:r w:rsidRPr="00486CB9">
        <w:t xml:space="preserve">. The Sofronoff report </w:t>
      </w:r>
      <w:r w:rsidR="00F15C0D">
        <w:t xml:space="preserve">(2016) </w:t>
      </w:r>
      <w:r w:rsidRPr="00486CB9">
        <w:t>made 91 recommendations, all but two of which the</w:t>
      </w:r>
      <w:r w:rsidR="00067F97">
        <w:t xml:space="preserve"> Queensland</w:t>
      </w:r>
      <w:r w:rsidRPr="00486CB9">
        <w:t xml:space="preserve"> Government </w:t>
      </w:r>
      <w:r w:rsidR="0079474A">
        <w:t xml:space="preserve">(2017) </w:t>
      </w:r>
      <w:r w:rsidRPr="00486CB9">
        <w:t>accepted. This report was much more temperate than the Callinan review and generally affirmed the value of parole.</w:t>
      </w:r>
    </w:p>
    <w:p w14:paraId="3FAAF4C9" w14:textId="2739C196" w:rsidR="00D015EB" w:rsidRDefault="009C2563" w:rsidP="007E25EA">
      <w:pPr>
        <w:pStyle w:val="ParaFollowSub"/>
      </w:pPr>
      <w:r>
        <w:lastRenderedPageBreak/>
        <w:t>I</w:t>
      </w:r>
      <w:r w:rsidR="00D015EB">
        <w:t>n July</w:t>
      </w:r>
      <w:r w:rsidR="00F17E6B">
        <w:t xml:space="preserve"> 201</w:t>
      </w:r>
      <w:r w:rsidR="00D015EB">
        <w:t>7</w:t>
      </w:r>
      <w:r w:rsidR="00D015EB" w:rsidRPr="00486CB9">
        <w:t xml:space="preserve">, </w:t>
      </w:r>
      <w:r w:rsidR="009F3D80">
        <w:t>Victoria experienced a further parole crisis when a man</w:t>
      </w:r>
      <w:r w:rsidR="007E7CAD">
        <w:t xml:space="preserve"> </w:t>
      </w:r>
      <w:r w:rsidR="009F3D80">
        <w:t xml:space="preserve">took a member of the public hostage and killed another, as well as shooting three police officers. He </w:t>
      </w:r>
      <w:r w:rsidR="007E7CAD">
        <w:t>was</w:t>
      </w:r>
      <w:r w:rsidR="009F3D80">
        <w:t xml:space="preserve"> subsequently</w:t>
      </w:r>
      <w:r w:rsidR="007E7CAD">
        <w:t xml:space="preserve"> shot dead by police. </w:t>
      </w:r>
      <w:r w:rsidR="00D015EB" w:rsidRPr="00486CB9">
        <w:t>When it emerged that he was on parole and had previously been charged with but acquitted of terrorism-related offences in NSW</w:t>
      </w:r>
      <w:r w:rsidR="00647F56">
        <w:t xml:space="preserve"> (ie, a separate jurisdiction)</w:t>
      </w:r>
      <w:r w:rsidR="00D015EB" w:rsidRPr="00486CB9">
        <w:t xml:space="preserve">, the Prime Minister questioned why </w:t>
      </w:r>
      <w:r w:rsidR="009F3D80">
        <w:t>the man</w:t>
      </w:r>
      <w:r w:rsidR="00647F56">
        <w:t xml:space="preserve"> </w:t>
      </w:r>
      <w:r w:rsidR="00D015EB" w:rsidRPr="00486CB9">
        <w:t xml:space="preserve">had been </w:t>
      </w:r>
      <w:r w:rsidR="009F3D80">
        <w:t xml:space="preserve">released </w:t>
      </w:r>
      <w:r w:rsidR="00D015EB" w:rsidRPr="00486CB9">
        <w:t>on parole</w:t>
      </w:r>
      <w:r w:rsidR="00647F56">
        <w:t xml:space="preserve"> and called for national parole laws</w:t>
      </w:r>
      <w:r w:rsidR="007E7CAD">
        <w:t xml:space="preserve"> (Hunter</w:t>
      </w:r>
      <w:r w:rsidR="00F17E6B">
        <w:t>, 201</w:t>
      </w:r>
      <w:r w:rsidR="007E7CAD">
        <w:t>7</w:t>
      </w:r>
      <w:r w:rsidR="00CA0D39">
        <w:t>; for comment, see Sarre and Bartels</w:t>
      </w:r>
      <w:r w:rsidR="00F17E6B">
        <w:t>, 201</w:t>
      </w:r>
      <w:r w:rsidR="00CA0D39">
        <w:t>7</w:t>
      </w:r>
      <w:r w:rsidR="007E7CAD">
        <w:t>)</w:t>
      </w:r>
      <w:r w:rsidR="00D015EB" w:rsidRPr="00647F56">
        <w:t xml:space="preserve">. </w:t>
      </w:r>
      <w:r w:rsidR="009F3D80">
        <w:t>It should be noted that t</w:t>
      </w:r>
      <w:r w:rsidR="00647F56" w:rsidRPr="00647F56">
        <w:t>his is very unusual;</w:t>
      </w:r>
      <w:r w:rsidR="00D015EB" w:rsidRPr="00647F56">
        <w:t xml:space="preserve"> as parole is almost entirely a matter for the states and territories, the Prime Minister </w:t>
      </w:r>
      <w:r w:rsidR="00647F56" w:rsidRPr="00647F56">
        <w:t xml:space="preserve">would not </w:t>
      </w:r>
      <w:r w:rsidR="00D015EB" w:rsidRPr="00647F56">
        <w:t>usually get involved</w:t>
      </w:r>
      <w:r w:rsidR="00647F56" w:rsidRPr="00647F56">
        <w:t xml:space="preserve"> in such issues</w:t>
      </w:r>
      <w:r w:rsidR="00D015EB" w:rsidRPr="00647F56">
        <w:t xml:space="preserve">. A few days after this case, the leaders of all nine Australian governments met and agreed </w:t>
      </w:r>
      <w:r w:rsidR="00647F56" w:rsidRPr="00647F56">
        <w:t>to introduce</w:t>
      </w:r>
      <w:r w:rsidR="00D015EB" w:rsidRPr="00647F56">
        <w:t xml:space="preserve"> a presumption against parole for persons who have demonstrated support for</w:t>
      </w:r>
      <w:r w:rsidR="00FF730B" w:rsidRPr="00647F56">
        <w:t>,</w:t>
      </w:r>
      <w:r w:rsidR="00D015EB" w:rsidRPr="00647F56">
        <w:t xml:space="preserve"> or </w:t>
      </w:r>
      <w:r w:rsidR="00FF730B" w:rsidRPr="00647F56">
        <w:t xml:space="preserve">had </w:t>
      </w:r>
      <w:r w:rsidR="00D015EB" w:rsidRPr="00647F56">
        <w:t>links to</w:t>
      </w:r>
      <w:r w:rsidR="00FF730B" w:rsidRPr="00647F56">
        <w:t>,</w:t>
      </w:r>
      <w:r w:rsidR="00D015EB" w:rsidRPr="00647F56">
        <w:t xml:space="preserve"> terrorist activity</w:t>
      </w:r>
      <w:r w:rsidR="007E7CAD" w:rsidRPr="007E7CAD">
        <w:t xml:space="preserve"> </w:t>
      </w:r>
      <w:r w:rsidR="007E7CAD">
        <w:t>(Council of Australian Governments</w:t>
      </w:r>
      <w:r w:rsidR="00F17E6B">
        <w:t>, 201</w:t>
      </w:r>
      <w:r w:rsidR="007E7CAD">
        <w:t>7).</w:t>
      </w:r>
    </w:p>
    <w:p w14:paraId="17EFBD03" w14:textId="488E001D" w:rsidR="00581F33" w:rsidRDefault="00581F33" w:rsidP="00BB43A1">
      <w:pPr>
        <w:pStyle w:val="Para15"/>
      </w:pPr>
      <w:r>
        <w:t xml:space="preserve">Taking into account the foregoing developments, </w:t>
      </w:r>
      <w:r w:rsidR="00BB43A1">
        <w:t>Freiberg (forthcoming</w:t>
      </w:r>
      <w:r w:rsidR="00A6011C">
        <w:t xml:space="preserve">) and </w:t>
      </w:r>
      <w:r w:rsidR="00960ACB">
        <w:t xml:space="preserve">Freiberg </w:t>
      </w:r>
      <w:r w:rsidR="00F17E6B">
        <w:t>et al.</w:t>
      </w:r>
      <w:r w:rsidR="00960ACB">
        <w:t xml:space="preserve"> </w:t>
      </w:r>
      <w:r w:rsidR="00A6011C">
        <w:t>(</w:t>
      </w:r>
      <w:r w:rsidR="00960ACB">
        <w:t>under review</w:t>
      </w:r>
      <w:r w:rsidR="00A6011C">
        <w:t>) have</w:t>
      </w:r>
      <w:r w:rsidR="00BB43A1">
        <w:t xml:space="preserve"> identified five key themes in the recent reforms to Australian parole laws and policies. First</w:t>
      </w:r>
      <w:r w:rsidR="00A835ED">
        <w:t>ly</w:t>
      </w:r>
      <w:r w:rsidR="00BB43A1">
        <w:t xml:space="preserve">, there is prioritisation of community safety over all other relevant considerations in parole decision-making, especially in relation to specific offender groups presumed to be most dangerous to public safety, such as sexual and/or violent offenders. </w:t>
      </w:r>
      <w:r w:rsidR="009F3D80">
        <w:t>Second</w:t>
      </w:r>
      <w:r w:rsidR="00A835ED">
        <w:t>ly</w:t>
      </w:r>
      <w:r w:rsidR="009F3D80">
        <w:t>, more</w:t>
      </w:r>
      <w:r w:rsidR="00BB43A1">
        <w:t xml:space="preserve"> limits </w:t>
      </w:r>
      <w:r w:rsidR="009F3D80">
        <w:t xml:space="preserve">are </w:t>
      </w:r>
      <w:r w:rsidR="00BB43A1">
        <w:t xml:space="preserve">being imposed on the courts’ discretion to set non-parole periods through the use of mandatory or presumptive non-parole periods. Inferentially, courts are becoming less trusted by legislatures to choose an ‘appropriate’ punishment for the crime. The third theme is the questioning or undermining of the discretion of parole boards to make decisions involving perpetrators of serious offences. In such cases, parole board decisions may be reviewed by additional decision-making authorities or are required to be made by differently constituted parole boards. </w:t>
      </w:r>
    </w:p>
    <w:p w14:paraId="42E66E17" w14:textId="6DC45B13" w:rsidR="00BB43A1" w:rsidRDefault="00BB43A1" w:rsidP="00BB43A1">
      <w:pPr>
        <w:pStyle w:val="Para15"/>
      </w:pPr>
      <w:r>
        <w:t>The fourth theme is the elevation of victims’ rights. This is most evident in the rapid adoption since</w:t>
      </w:r>
      <w:r w:rsidR="00F17E6B">
        <w:t xml:space="preserve"> 201</w:t>
      </w:r>
      <w:r>
        <w:t xml:space="preserve">5 of </w:t>
      </w:r>
      <w:r w:rsidRPr="00681AC0">
        <w:t xml:space="preserve">‘no body, no parole’ </w:t>
      </w:r>
      <w:r>
        <w:t xml:space="preserve">laws, which prevent offenders convicted of murder or manslaughter from being released on parole if they have not provided information on the whereabouts of their victims’ bodies.  These laws are now in place in Victoria, Queensland, South Australia and the Northern Territory. NSW and Western Australia have also indicated their support for such laws. Finally, there appears to be a shift in the rationale for parole from a prisoner-centred and reintegrative process to </w:t>
      </w:r>
      <w:r w:rsidR="002826A7">
        <w:t>one</w:t>
      </w:r>
      <w:r>
        <w:t xml:space="preserve"> that is increasingly focused on a prisoner’s progressive </w:t>
      </w:r>
      <w:r>
        <w:lastRenderedPageBreak/>
        <w:t>forfeiture of rights due</w:t>
      </w:r>
      <w:r w:rsidR="002826A7">
        <w:t xml:space="preserve"> to their offending behaviour. C</w:t>
      </w:r>
      <w:r>
        <w:t>onvicted criminals are</w:t>
      </w:r>
      <w:r w:rsidR="002826A7">
        <w:t xml:space="preserve"> therefore</w:t>
      </w:r>
      <w:r>
        <w:t xml:space="preserve"> regarded as having intentionally repudiated their contract with society. </w:t>
      </w:r>
    </w:p>
    <w:p w14:paraId="28231689" w14:textId="54777029" w:rsidR="00256F74" w:rsidRDefault="00E062CB" w:rsidP="00256F74">
      <w:pPr>
        <w:pStyle w:val="Para15"/>
      </w:pPr>
      <w:r>
        <w:t xml:space="preserve">According to </w:t>
      </w:r>
      <w:r w:rsidR="00581F33" w:rsidRPr="00581F33">
        <w:t xml:space="preserve">Freiberg </w:t>
      </w:r>
      <w:r>
        <w:t>and others (Freiberg</w:t>
      </w:r>
      <w:r w:rsidR="00067F97">
        <w:t>,</w:t>
      </w:r>
      <w:r>
        <w:t xml:space="preserve"> forthcoming; Freiberg </w:t>
      </w:r>
      <w:r w:rsidR="00F17E6B">
        <w:t>et al.</w:t>
      </w:r>
      <w:r w:rsidR="00067F97">
        <w:t>,</w:t>
      </w:r>
      <w:r>
        <w:t xml:space="preserve"> under review), </w:t>
      </w:r>
      <w:r w:rsidR="00581F33" w:rsidRPr="00581F33">
        <w:t xml:space="preserve">Australian governments have too often succumbed to perceived community pressure to restrict parole and the independence and powers of parole authorities. </w:t>
      </w:r>
      <w:r>
        <w:t>Arguably,</w:t>
      </w:r>
      <w:r w:rsidR="00581F33" w:rsidRPr="00581F33">
        <w:t xml:space="preserve"> parole, like sentencing, should remain in the hands of impartial and independent bodies free of political influence. </w:t>
      </w:r>
      <w:r>
        <w:t>It therefore behoves</w:t>
      </w:r>
      <w:r w:rsidR="00CE3052">
        <w:t xml:space="preserve"> legislatures to recognise </w:t>
      </w:r>
      <w:r w:rsidR="00581F33" w:rsidRPr="00581F33">
        <w:t>that an effectively functioning parole system provides the community with a valuable mechanism for promoting community safety.</w:t>
      </w:r>
    </w:p>
    <w:p w14:paraId="3EFEDAA5" w14:textId="77777777" w:rsidR="00256F74" w:rsidRPr="00C5488C" w:rsidRDefault="00256F74" w:rsidP="00256F74">
      <w:pPr>
        <w:pStyle w:val="Heading1"/>
        <w:rPr>
          <w:color w:val="000000" w:themeColor="text1"/>
        </w:rPr>
      </w:pPr>
      <w:r w:rsidRPr="00C5488C">
        <w:rPr>
          <w:color w:val="000000" w:themeColor="text1"/>
        </w:rPr>
        <w:t>Australian public opinion on parole</w:t>
      </w:r>
    </w:p>
    <w:p w14:paraId="01ED1D6B" w14:textId="784DE86A" w:rsidR="006325D0" w:rsidRDefault="000B2F9C" w:rsidP="00256F74">
      <w:pPr>
        <w:pStyle w:val="Para15"/>
      </w:pPr>
      <w:r w:rsidRPr="00256F74">
        <w:t xml:space="preserve">This section summarises the key findings from </w:t>
      </w:r>
      <w:r>
        <w:t xml:space="preserve">the first results </w:t>
      </w:r>
      <w:r w:rsidR="002E4539">
        <w:t xml:space="preserve">of </w:t>
      </w:r>
      <w:r w:rsidRPr="00256F74">
        <w:t xml:space="preserve">a national study on public opinion on parole (see Fitzgerald </w:t>
      </w:r>
      <w:r w:rsidR="00F17E6B">
        <w:t>et al., 201</w:t>
      </w:r>
      <w:r w:rsidRPr="00256F74">
        <w:t>6)</w:t>
      </w:r>
      <w:r w:rsidR="006325D0">
        <w:t xml:space="preserve"> and a more recent Western Australian study (Gately </w:t>
      </w:r>
      <w:r w:rsidR="00F17E6B">
        <w:t>et al., 201</w:t>
      </w:r>
      <w:r w:rsidR="006325D0">
        <w:t>7)</w:t>
      </w:r>
      <w:r w:rsidRPr="00256F74">
        <w:t>.</w:t>
      </w:r>
      <w:r>
        <w:t xml:space="preserve"> </w:t>
      </w:r>
    </w:p>
    <w:p w14:paraId="792AEF15" w14:textId="4E29EAEF" w:rsidR="006325D0" w:rsidRPr="00256F74" w:rsidRDefault="00354C6D" w:rsidP="006325D0">
      <w:pPr>
        <w:pStyle w:val="Para15"/>
      </w:pPr>
      <w:r>
        <w:t xml:space="preserve">Fitzgerald </w:t>
      </w:r>
      <w:r w:rsidR="00F17E6B">
        <w:t>et al.</w:t>
      </w:r>
      <w:r w:rsidR="00FE159F" w:rsidRPr="000E2E70">
        <w:t xml:space="preserve"> </w:t>
      </w:r>
      <w:r w:rsidR="002E4539">
        <w:t xml:space="preserve">(2016) conducted </w:t>
      </w:r>
      <w:r w:rsidR="00FE159F" w:rsidRPr="000E2E70">
        <w:t>telephone interviews with a nation</w:t>
      </w:r>
      <w:r w:rsidR="006325D0">
        <w:t>ally representative sample of 1</w:t>
      </w:r>
      <w:r w:rsidR="00FE159F" w:rsidRPr="000E2E70">
        <w:t>200 Australians in all states and territories</w:t>
      </w:r>
      <w:r w:rsidR="002E4539">
        <w:t>. They also</w:t>
      </w:r>
      <w:r w:rsidR="00FE159F" w:rsidRPr="000E2E70">
        <w:t xml:space="preserve"> </w:t>
      </w:r>
      <w:r w:rsidR="002E4539">
        <w:t>undertook</w:t>
      </w:r>
      <w:r w:rsidR="00FE159F" w:rsidRPr="000E2E70">
        <w:t xml:space="preserve"> in-depth follow-up interviews with 30 respondents</w:t>
      </w:r>
      <w:r w:rsidR="002E4539">
        <w:t>,</w:t>
      </w:r>
      <w:r w:rsidR="00FE159F" w:rsidRPr="000E2E70">
        <w:t xml:space="preserve"> wh</w:t>
      </w:r>
      <w:r w:rsidR="009C2563" w:rsidRPr="000E2E70">
        <w:t xml:space="preserve">o were presented with </w:t>
      </w:r>
      <w:r w:rsidR="002E4539">
        <w:t xml:space="preserve">a series of parole </w:t>
      </w:r>
      <w:r w:rsidR="00FE159F" w:rsidRPr="000E2E70">
        <w:t xml:space="preserve">vignettes. </w:t>
      </w:r>
      <w:r w:rsidR="006325D0">
        <w:t xml:space="preserve">The data for this study were gathered </w:t>
      </w:r>
      <w:r w:rsidR="006325D0" w:rsidRPr="000E2E70">
        <w:t xml:space="preserve">after the </w:t>
      </w:r>
      <w:r w:rsidR="006B7447">
        <w:t>Bayley</w:t>
      </w:r>
      <w:r w:rsidR="006325D0">
        <w:t xml:space="preserve"> case described above, but before the more recent cases in </w:t>
      </w:r>
      <w:r w:rsidR="006325D0" w:rsidRPr="000E2E70">
        <w:t xml:space="preserve">Queensland and </w:t>
      </w:r>
      <w:r w:rsidR="006325D0">
        <w:t>Victoria</w:t>
      </w:r>
      <w:r w:rsidR="006325D0" w:rsidRPr="000E2E70">
        <w:t xml:space="preserve">. </w:t>
      </w:r>
      <w:r w:rsidR="006325D0">
        <w:t xml:space="preserve"> </w:t>
      </w:r>
    </w:p>
    <w:p w14:paraId="32F197E9" w14:textId="1DBD5048" w:rsidR="006E1D44" w:rsidRDefault="006325D0" w:rsidP="006E1D44">
      <w:pPr>
        <w:pStyle w:val="ParaFollowSub"/>
      </w:pPr>
      <w:r>
        <w:t xml:space="preserve">Fitzgerald </w:t>
      </w:r>
      <w:r w:rsidR="00F17E6B">
        <w:t>et al.</w:t>
      </w:r>
      <w:r w:rsidR="002E4539">
        <w:t xml:space="preserve"> found mixed support for parole, with 46 percent of respondents agreeing that ‘prisoners should be released to serve the last part of their sentence in the community under supervision’, while 38 percent disagreed. However, there was also support for ‘truth in sentencing’, with 59 percent agreeing that prisoners should serve their ‘entire sentence’ in custody; by contrast, only 27 percent disagreed with this proposition.</w:t>
      </w:r>
      <w:r w:rsidR="00A835ED">
        <w:t xml:space="preserve"> Notably</w:t>
      </w:r>
      <w:r w:rsidR="00D66CC9">
        <w:t>, one in five respondents (21 percent</w:t>
      </w:r>
      <w:r w:rsidR="002E4539">
        <w:t>) supported both of these propositions.</w:t>
      </w:r>
      <w:r w:rsidR="006E1D44">
        <w:t xml:space="preserve"> Other research has also found that the public often holds contradictory or competing views in relation to criminal justice, leading Doble (2002) to argue that the public can favour multiple sentencing goals and sees them as complementary, not contradictory.</w:t>
      </w:r>
    </w:p>
    <w:p w14:paraId="19FF2AE7" w14:textId="414D7F37" w:rsidR="00D90D9F" w:rsidRDefault="002E4539" w:rsidP="002E4539">
      <w:pPr>
        <w:pStyle w:val="Para15"/>
      </w:pPr>
      <w:r>
        <w:t xml:space="preserve">Fitzgerald </w:t>
      </w:r>
      <w:r w:rsidR="00F17E6B">
        <w:t>et al.</w:t>
      </w:r>
      <w:r>
        <w:t xml:space="preserve"> also found support for rehabilitative ideals, with 82 percent of respondents agreeing that we should ‘spend more money funding effective prison-</w:t>
      </w:r>
      <w:r>
        <w:lastRenderedPageBreak/>
        <w:t xml:space="preserve">based education and treatment programs so that people leaving prison do not commit new offences’. They were also optimistic about offenders’ ability to rehabilitate, with </w:t>
      </w:r>
      <w:r w:rsidR="00756E6F">
        <w:t xml:space="preserve">77 percent agreeing that </w:t>
      </w:r>
      <w:r w:rsidR="00CE480A">
        <w:t>‘</w:t>
      </w:r>
      <w:r w:rsidR="00756E6F">
        <w:t xml:space="preserve">most offenders </w:t>
      </w:r>
      <w:r w:rsidR="00CE480A">
        <w:t>can go on to lead productive lives with help and hard work’</w:t>
      </w:r>
      <w:r w:rsidR="00756E6F">
        <w:t>.</w:t>
      </w:r>
      <w:r>
        <w:t xml:space="preserve"> </w:t>
      </w:r>
      <w:r w:rsidR="00756E6F">
        <w:t xml:space="preserve">Notwithstanding this, when asked directly to compare between rehabilitation and community safety, </w:t>
      </w:r>
      <w:r>
        <w:t>77 percent regarded community safety as a higher priority.</w:t>
      </w:r>
      <w:r w:rsidR="00D90D9F">
        <w:t xml:space="preserve"> </w:t>
      </w:r>
    </w:p>
    <w:p w14:paraId="541DEA95" w14:textId="6D1D8D52" w:rsidR="002E4539" w:rsidRDefault="00D90D9F" w:rsidP="002E4539">
      <w:pPr>
        <w:pStyle w:val="Para15"/>
      </w:pPr>
      <w:r>
        <w:t>There was a sense that parole should be regarded as a one-time offer, with 75 percent agreeing that ‘offenders who have violated parole conditions once in the past should never be eligible for parole again’. There was also little support for parole in relation to violent offenders, with only 8 and 15 percent respectively supporting parole for child sex offences or murder, compared with 66 percent for burglary and fraud.</w:t>
      </w:r>
    </w:p>
    <w:p w14:paraId="492CCCF1" w14:textId="2663AFCA" w:rsidR="00441F8D" w:rsidRPr="002E4539" w:rsidRDefault="00441F8D" w:rsidP="002E4539">
      <w:pPr>
        <w:pStyle w:val="Para15"/>
      </w:pPr>
      <w:r>
        <w:t xml:space="preserve">As noted above, non-parole periods in Australia generally range from 50 to 80 percent of the total sentence imposed. This would appear to be out of line with community expectations, </w:t>
      </w:r>
      <w:r w:rsidR="006325D0">
        <w:t xml:space="preserve">with 58 percent of respondents either opposing parole altogether or indicating </w:t>
      </w:r>
      <w:r>
        <w:t>that prisoners should be re</w:t>
      </w:r>
      <w:r w:rsidR="005F00BF">
        <w:t>quired to serve at least 80 per</w:t>
      </w:r>
      <w:r>
        <w:t xml:space="preserve">cent of their sentence before release. </w:t>
      </w:r>
    </w:p>
    <w:p w14:paraId="0105641F" w14:textId="7305C146" w:rsidR="002E4539" w:rsidRDefault="006325D0" w:rsidP="002E4539">
      <w:pPr>
        <w:pStyle w:val="Para15"/>
      </w:pPr>
      <w:r>
        <w:t xml:space="preserve">There were fairly high levels of confidence in parole boards, with 61 percent agreeing that they are in a better position than judges to choose an appropriate release date and 71 percent agreeing that they try to be fair. Unsurprisingly, respondents who supported parole were more likely to agree with these statements. Conversely, while 69 percent of respondents wanted to see victims have more of a say in parole decisions, this </w:t>
      </w:r>
      <w:r w:rsidR="000A2267">
        <w:t>was higher among respondents categorised as ‘parole non-supporters’.</w:t>
      </w:r>
    </w:p>
    <w:p w14:paraId="43E3584A" w14:textId="050EF88C" w:rsidR="00AE697E" w:rsidRDefault="00D66CC9" w:rsidP="00354C6D">
      <w:pPr>
        <w:pStyle w:val="Para15"/>
      </w:pPr>
      <w:r>
        <w:t xml:space="preserve">Fitzgerald </w:t>
      </w:r>
      <w:r w:rsidR="00F17E6B">
        <w:t>et al.</w:t>
      </w:r>
      <w:r>
        <w:t xml:space="preserve"> concluded that there is ‘evidently a lack of understanding of the nature and purposes of parole’ (2016: 324). This was also one of the findings of a</w:t>
      </w:r>
      <w:r w:rsidR="006325D0">
        <w:t>nother</w:t>
      </w:r>
      <w:r w:rsidR="00354C6D">
        <w:t xml:space="preserve"> </w:t>
      </w:r>
      <w:r w:rsidR="00354C6D" w:rsidRPr="006B6550">
        <w:t xml:space="preserve">recent </w:t>
      </w:r>
      <w:r w:rsidR="00354C6D">
        <w:t>study</w:t>
      </w:r>
      <w:r w:rsidR="00354C6D" w:rsidRPr="006B6550">
        <w:t xml:space="preserve"> on parole </w:t>
      </w:r>
      <w:r w:rsidR="00197529">
        <w:t xml:space="preserve">conducted </w:t>
      </w:r>
      <w:r>
        <w:t>in Western Australia. In that study, G</w:t>
      </w:r>
      <w:r w:rsidR="00354C6D">
        <w:t>atel</w:t>
      </w:r>
      <w:r w:rsidR="00354C6D" w:rsidRPr="006B6550">
        <w:t xml:space="preserve">y </w:t>
      </w:r>
      <w:r w:rsidR="00F17E6B">
        <w:t>et al.</w:t>
      </w:r>
      <w:r w:rsidR="00354C6D" w:rsidRPr="006B6550">
        <w:t xml:space="preserve"> </w:t>
      </w:r>
      <w:r w:rsidR="00354C6D">
        <w:t>(</w:t>
      </w:r>
      <w:r w:rsidR="00354C6D" w:rsidRPr="006B6550">
        <w:t>2017</w:t>
      </w:r>
      <w:r w:rsidR="00354C6D">
        <w:t>)</w:t>
      </w:r>
      <w:r w:rsidR="006325D0">
        <w:t xml:space="preserve"> </w:t>
      </w:r>
      <w:r w:rsidR="00354C6D" w:rsidRPr="006B6550">
        <w:t xml:space="preserve">found that </w:t>
      </w:r>
      <w:r w:rsidR="0088225D">
        <w:t>nearly</w:t>
      </w:r>
      <w:r w:rsidR="00354C6D" w:rsidRPr="006B6550">
        <w:t xml:space="preserve"> two-thirds of the 38 </w:t>
      </w:r>
      <w:r w:rsidR="00F22FE3">
        <w:t xml:space="preserve">interview </w:t>
      </w:r>
      <w:r w:rsidR="00354C6D" w:rsidRPr="006B6550">
        <w:t>respondents understood that parole involved releasing prisoners back into the community before completing their sentence, but many thought that this involved the sentence being shortened.</w:t>
      </w:r>
      <w:r w:rsidR="00354C6D">
        <w:t xml:space="preserve"> In addition, although most respondents were aware of the concept of a ‘parole board’, there was limited understanding about how this worked.</w:t>
      </w:r>
      <w:r w:rsidR="00067F97">
        <w:t xml:space="preserve"> As set out above, Australia has eight different legislative regimes for parole. One of the concerning findings from </w:t>
      </w:r>
      <w:r w:rsidR="00067F97">
        <w:lastRenderedPageBreak/>
        <w:t xml:space="preserve">Gately et al.’s study is that most participants were not aware that Western Australia has its own parole board. </w:t>
      </w:r>
      <w:r w:rsidR="0088225D">
        <w:t xml:space="preserve"> </w:t>
      </w:r>
    </w:p>
    <w:p w14:paraId="1FD9C07A" w14:textId="60E1FDAF" w:rsidR="006B7447" w:rsidRDefault="0088225D" w:rsidP="00354C6D">
      <w:pPr>
        <w:pStyle w:val="Para15"/>
      </w:pPr>
      <w:r>
        <w:t xml:space="preserve">It appears that </w:t>
      </w:r>
      <w:r w:rsidR="006B7447">
        <w:t xml:space="preserve">some of </w:t>
      </w:r>
      <w:r>
        <w:t xml:space="preserve">the questions asked of respondents </w:t>
      </w:r>
      <w:r w:rsidR="006B7447">
        <w:t xml:space="preserve">in this study </w:t>
      </w:r>
      <w:r>
        <w:t xml:space="preserve">were highly specific, for example, Gately </w:t>
      </w:r>
      <w:r w:rsidR="00F17E6B">
        <w:t>et al.</w:t>
      </w:r>
      <w:r>
        <w:t xml:space="preserve"> noted that no participants ‘knew the proportion of offenders in [Western Australia] who receive parole’ (2017: 299)</w:t>
      </w:r>
      <w:r w:rsidR="00F13DF6">
        <w:t xml:space="preserve"> or ‘possessed knowledge about the composition or processes of the [parole] board’ (2017: 301-302)</w:t>
      </w:r>
      <w:r>
        <w:t xml:space="preserve">. These gaps in specific knowledge are hardly surprising, given the general paucity of knowledge about </w:t>
      </w:r>
      <w:r w:rsidR="00F13DF6">
        <w:t xml:space="preserve">the </w:t>
      </w:r>
      <w:r>
        <w:t>criminal justice syst</w:t>
      </w:r>
      <w:r w:rsidR="00F13DF6">
        <w:t xml:space="preserve">em </w:t>
      </w:r>
      <w:r w:rsidR="006B7447">
        <w:t xml:space="preserve">identified in previous research. For example, </w:t>
      </w:r>
      <w:r w:rsidR="00DE72F3">
        <w:t xml:space="preserve">Halstead </w:t>
      </w:r>
      <w:r w:rsidR="006B7447">
        <w:t>(</w:t>
      </w:r>
      <w:r w:rsidR="00DE72F3">
        <w:t>2015)</w:t>
      </w:r>
      <w:r w:rsidR="006B7447">
        <w:t xml:space="preserve"> found that only 1 percent of NSW respondents correctly identified that less than 10 percent of crimes involve violence. </w:t>
      </w:r>
    </w:p>
    <w:p w14:paraId="049D1606" w14:textId="090F1BEF" w:rsidR="00AE697E" w:rsidRDefault="00354C6D" w:rsidP="00AE697E">
      <w:pPr>
        <w:pStyle w:val="Para15"/>
      </w:pPr>
      <w:r>
        <w:t xml:space="preserve">Just over a third of </w:t>
      </w:r>
      <w:r w:rsidR="0088225D">
        <w:t xml:space="preserve">the </w:t>
      </w:r>
      <w:r>
        <w:t>respondents</w:t>
      </w:r>
      <w:r w:rsidR="0088225D">
        <w:t xml:space="preserve"> in Gately </w:t>
      </w:r>
      <w:r w:rsidR="00F17E6B">
        <w:t>et al.</w:t>
      </w:r>
      <w:r w:rsidR="0088225D">
        <w:t>’s study</w:t>
      </w:r>
      <w:r>
        <w:t xml:space="preserve"> (36 percent) showed positive perceptions of parole, another 36 percent had mixed views and 26 percent expressed negative sentiments. </w:t>
      </w:r>
      <w:r w:rsidR="00A36C23">
        <w:t>The r</w:t>
      </w:r>
      <w:r>
        <w:t xml:space="preserve">espondents were </w:t>
      </w:r>
      <w:r w:rsidR="00A36C23">
        <w:t xml:space="preserve">subsequently </w:t>
      </w:r>
      <w:r>
        <w:t>provided with information abo</w:t>
      </w:r>
      <w:r w:rsidR="00DE67DD">
        <w:t>ut parole and parole processes. Although 84 percent of respondents indicated that the information had improved their understanding, only</w:t>
      </w:r>
      <w:r>
        <w:t xml:space="preserve"> three of the 10 respondents who had held negative views change</w:t>
      </w:r>
      <w:r w:rsidR="00DE67DD">
        <w:t>d</w:t>
      </w:r>
      <w:r>
        <w:t xml:space="preserve"> their views</w:t>
      </w:r>
      <w:r w:rsidR="00DE67DD">
        <w:t xml:space="preserve"> as a result of this information</w:t>
      </w:r>
      <w:r>
        <w:t>.</w:t>
      </w:r>
      <w:r w:rsidR="006325D0">
        <w:t xml:space="preserve"> </w:t>
      </w:r>
      <w:r w:rsidR="00DE67DD">
        <w:t>This led the authors to highlight the ‘difficulty of changing entrenched opinion cultivated by years of opposing information’ (2017: 306).</w:t>
      </w:r>
      <w:r w:rsidR="006C7317">
        <w:t xml:space="preserve"> However, they also found that respondents became more supportive of parole when it was presented in a reintegration framework. </w:t>
      </w:r>
    </w:p>
    <w:p w14:paraId="7580A3CA" w14:textId="77777777" w:rsidR="00AE697E" w:rsidRPr="00C5488C" w:rsidRDefault="00AE697E" w:rsidP="00AE697E">
      <w:pPr>
        <w:pStyle w:val="Heading1"/>
        <w:rPr>
          <w:color w:val="000000" w:themeColor="text1"/>
        </w:rPr>
      </w:pPr>
      <w:r w:rsidRPr="00C5488C">
        <w:rPr>
          <w:color w:val="000000" w:themeColor="text1"/>
        </w:rPr>
        <w:t>Conclusion and future directions</w:t>
      </w:r>
    </w:p>
    <w:p w14:paraId="6CCE8E2D" w14:textId="3DD61EEF" w:rsidR="00C5488C" w:rsidRDefault="00752BD7" w:rsidP="00AE697E">
      <w:pPr>
        <w:pStyle w:val="Para15"/>
      </w:pPr>
      <w:r>
        <w:t xml:space="preserve">As noted above, </w:t>
      </w:r>
      <w:r w:rsidR="00AE697E">
        <w:t>Australia provides an ideal opportunity for examining penal policy and practice</w:t>
      </w:r>
      <w:r>
        <w:t>, given the variations in law and practice in relation to both sentencing and parole</w:t>
      </w:r>
      <w:r w:rsidR="00AE697E">
        <w:t xml:space="preserve">. In </w:t>
      </w:r>
      <w:r w:rsidR="006A431B">
        <w:t xml:space="preserve">addition, there has been </w:t>
      </w:r>
      <w:r w:rsidR="00AE697E">
        <w:t xml:space="preserve">a substantial body of research on public opinion on sentencing </w:t>
      </w:r>
      <w:r w:rsidR="006A431B">
        <w:t xml:space="preserve">in recent years </w:t>
      </w:r>
      <w:r w:rsidR="00AE697E">
        <w:t>and, since</w:t>
      </w:r>
      <w:r w:rsidR="00F17E6B">
        <w:t>, 201</w:t>
      </w:r>
      <w:r w:rsidR="00AE697E">
        <w:t xml:space="preserve">6, parole. This paper has provided insight into these emerging understandings by presenting an overview of </w:t>
      </w:r>
      <w:r w:rsidR="00F3455D">
        <w:t>findings</w:t>
      </w:r>
      <w:r w:rsidR="00AE697E">
        <w:t xml:space="preserve"> </w:t>
      </w:r>
      <w:r w:rsidR="00F3455D">
        <w:t>in relation to</w:t>
      </w:r>
      <w:r w:rsidR="00AE697E">
        <w:t xml:space="preserve"> public opinion on sentencing</w:t>
      </w:r>
      <w:r w:rsidR="00F3455D">
        <w:t xml:space="preserve"> from both top-of-</w:t>
      </w:r>
      <w:r>
        <w:t>the-</w:t>
      </w:r>
      <w:r w:rsidR="00F3455D">
        <w:t>head and case-specific research</w:t>
      </w:r>
      <w:r w:rsidR="00AE697E">
        <w:t xml:space="preserve">. </w:t>
      </w:r>
    </w:p>
    <w:p w14:paraId="431EC0D5" w14:textId="4B314FFB" w:rsidR="00C5488C" w:rsidRDefault="009D0ACA" w:rsidP="00AE697E">
      <w:pPr>
        <w:pStyle w:val="Para15"/>
      </w:pPr>
      <w:r>
        <w:t>Two key</w:t>
      </w:r>
      <w:r w:rsidR="00A835ED">
        <w:t xml:space="preserve"> themes emerge from this research. Firstly, although respondents typically express dissatisfaction with sentencing (Gately </w:t>
      </w:r>
      <w:r w:rsidR="00F17E6B">
        <w:t>et al., 201</w:t>
      </w:r>
      <w:r w:rsidR="00A835ED">
        <w:t>7; Lovegrove</w:t>
      </w:r>
      <w:r w:rsidR="00F17E6B">
        <w:t>, 200</w:t>
      </w:r>
      <w:r w:rsidR="00A835ED">
        <w:t xml:space="preserve">7; Mackenzie </w:t>
      </w:r>
      <w:r w:rsidR="00F17E6B">
        <w:t>et al., 201</w:t>
      </w:r>
      <w:r w:rsidR="00A835ED">
        <w:t xml:space="preserve">2), they tend to impose sentences that are on par with or more lenient than the </w:t>
      </w:r>
      <w:r w:rsidR="00230E6D">
        <w:t xml:space="preserve">sentence imposed by the </w:t>
      </w:r>
      <w:r w:rsidR="00A835ED">
        <w:t xml:space="preserve">judge when provided with relevant </w:t>
      </w:r>
      <w:r w:rsidR="00A835ED">
        <w:lastRenderedPageBreak/>
        <w:t>information about sentencing (Lovegrove</w:t>
      </w:r>
      <w:r w:rsidR="00F17E6B">
        <w:t>, 200</w:t>
      </w:r>
      <w:r w:rsidR="00A835ED">
        <w:t xml:space="preserve">7; Warner </w:t>
      </w:r>
      <w:r w:rsidR="00F17E6B">
        <w:t>et al., 200</w:t>
      </w:r>
      <w:r w:rsidR="00A835ED">
        <w:t>9</w:t>
      </w:r>
      <w:r w:rsidR="00F17E6B">
        <w:t>, 201</w:t>
      </w:r>
      <w:r w:rsidR="00067F97">
        <w:t>1</w:t>
      </w:r>
      <w:r w:rsidR="00F17E6B">
        <w:t>, 201</w:t>
      </w:r>
      <w:r w:rsidR="00A835ED">
        <w:t xml:space="preserve">7). </w:t>
      </w:r>
      <w:r w:rsidR="00067F97">
        <w:t>This is consistent with international research (see eg</w:t>
      </w:r>
      <w:r w:rsidR="00B9521C">
        <w:t xml:space="preserve"> </w:t>
      </w:r>
      <w:r w:rsidR="008F08F8">
        <w:t xml:space="preserve">Doob and Roberts, 1983; </w:t>
      </w:r>
      <w:r w:rsidR="00B9521C">
        <w:t xml:space="preserve">Gainey and Payne, </w:t>
      </w:r>
      <w:r w:rsidR="008F08F8">
        <w:t>2003</w:t>
      </w:r>
      <w:r w:rsidR="00C50E67">
        <w:t>).</w:t>
      </w:r>
      <w:r w:rsidR="00067F97">
        <w:t xml:space="preserve"> </w:t>
      </w:r>
      <w:r w:rsidR="00C5488C">
        <w:t>It would appear from Warner et al.’s research (2009, 2011, 2017) that the relationship between information and satisfaction with the sentence imposed may</w:t>
      </w:r>
      <w:r w:rsidR="00A835ED">
        <w:t xml:space="preserve"> not extend sexual offences </w:t>
      </w:r>
      <w:r w:rsidR="00C5488C">
        <w:t>in Australia</w:t>
      </w:r>
      <w:r w:rsidR="00230E6D">
        <w:t>, although Devilly and Le Grand’s (2015) study suggests that, even in this context, sentencing practices may not be entirely out of alignment with community attitudes. Further research on public opinion on sentencing in sexual offence cases is currently underway (</w:t>
      </w:r>
      <w:r w:rsidR="00230E6D">
        <w:rPr>
          <w:rFonts w:eastAsia="Times New Roman"/>
          <w:color w:val="222222"/>
          <w:shd w:val="clear" w:color="auto" w:fill="FFFFFF"/>
        </w:rPr>
        <w:t>Bartels, Warner and Zdenkowski</w:t>
      </w:r>
      <w:r w:rsidR="00F17E6B">
        <w:rPr>
          <w:rFonts w:eastAsia="Times New Roman"/>
          <w:color w:val="222222"/>
          <w:shd w:val="clear" w:color="auto" w:fill="FFFFFF"/>
        </w:rPr>
        <w:t>, 201</w:t>
      </w:r>
      <w:r w:rsidR="00230E6D">
        <w:rPr>
          <w:rFonts w:eastAsia="Times New Roman"/>
          <w:color w:val="222222"/>
          <w:shd w:val="clear" w:color="auto" w:fill="FFFFFF"/>
        </w:rPr>
        <w:t xml:space="preserve">4; </w:t>
      </w:r>
      <w:r w:rsidR="00230E6D">
        <w:t>Warner</w:t>
      </w:r>
      <w:r w:rsidR="00F17E6B">
        <w:t>, 201</w:t>
      </w:r>
      <w:r w:rsidR="00230E6D">
        <w:t>4).</w:t>
      </w:r>
      <w:r>
        <w:t xml:space="preserve"> </w:t>
      </w:r>
    </w:p>
    <w:p w14:paraId="4E37CFC6" w14:textId="0DD87749" w:rsidR="00AE697E" w:rsidRDefault="009D0ACA" w:rsidP="00AE697E">
      <w:pPr>
        <w:pStyle w:val="Para15"/>
      </w:pPr>
      <w:r>
        <w:t>The</w:t>
      </w:r>
      <w:r w:rsidR="00230E6D">
        <w:t xml:space="preserve"> second theme was support for alternatives to prison, especially for non-violent offenders, young offenders, and those with substance abuse issues and/or mental illness (Gelb</w:t>
      </w:r>
      <w:r w:rsidR="00F17E6B">
        <w:t>, 201</w:t>
      </w:r>
      <w:r w:rsidR="00230E6D">
        <w:t xml:space="preserve">1a; Mackenzie </w:t>
      </w:r>
      <w:r w:rsidR="00F17E6B">
        <w:t>et al., 201</w:t>
      </w:r>
      <w:r w:rsidR="00230E6D">
        <w:t>2; Simpson and Butler</w:t>
      </w:r>
      <w:r w:rsidR="00F17E6B">
        <w:t>, 201</w:t>
      </w:r>
      <w:r w:rsidR="00230E6D">
        <w:t xml:space="preserve">5; Simpson </w:t>
      </w:r>
      <w:r w:rsidR="00F17E6B">
        <w:t>et al., 201</w:t>
      </w:r>
      <w:r w:rsidR="00230E6D">
        <w:t xml:space="preserve">5). Gelb (2011c) and </w:t>
      </w:r>
      <w:r w:rsidR="00EA7624">
        <w:t xml:space="preserve">Spiranovic </w:t>
      </w:r>
      <w:r w:rsidR="00F17E6B">
        <w:t>et al.</w:t>
      </w:r>
      <w:r w:rsidR="00EA7624">
        <w:t xml:space="preserve"> (2012</w:t>
      </w:r>
      <w:r w:rsidR="00230E6D">
        <w:t xml:space="preserve">) also found support for rehabilitation for </w:t>
      </w:r>
      <w:r>
        <w:t>first-time</w:t>
      </w:r>
      <w:r w:rsidR="00230E6D">
        <w:t xml:space="preserve"> offenders.</w:t>
      </w:r>
    </w:p>
    <w:p w14:paraId="4772E060" w14:textId="4BBB9641" w:rsidR="00874E57" w:rsidRDefault="009D0ACA" w:rsidP="00AE697E">
      <w:pPr>
        <w:pStyle w:val="Para15"/>
      </w:pPr>
      <w:r>
        <w:t xml:space="preserve">The article also presented the key findings from the first two Australian studies on public opinion and parole. </w:t>
      </w:r>
      <w:r w:rsidR="00874E57">
        <w:t>T</w:t>
      </w:r>
      <w:r>
        <w:t xml:space="preserve">hese </w:t>
      </w:r>
      <w:r w:rsidR="00874E57">
        <w:t>show overlap with</w:t>
      </w:r>
      <w:r>
        <w:t xml:space="preserve"> the findings on sentencing. For example, both Fitzgerald </w:t>
      </w:r>
      <w:r w:rsidR="00F17E6B">
        <w:t>et al.</w:t>
      </w:r>
      <w:r>
        <w:t xml:space="preserve"> (2016) and Gately </w:t>
      </w:r>
      <w:r w:rsidR="00F17E6B">
        <w:t>et al.</w:t>
      </w:r>
      <w:r>
        <w:t xml:space="preserve"> (2017) found low levels of support for </w:t>
      </w:r>
      <w:r w:rsidR="00EA7624">
        <w:t xml:space="preserve">parole for </w:t>
      </w:r>
      <w:r>
        <w:t>violent offenders.</w:t>
      </w:r>
      <w:r w:rsidR="00874E57">
        <w:t xml:space="preserve"> Similar</w:t>
      </w:r>
      <w:r w:rsidR="00EA7624">
        <w:t xml:space="preserve"> to Gelb (2</w:t>
      </w:r>
      <w:r w:rsidR="00874E57">
        <w:t>011c),</w:t>
      </w:r>
      <w:r w:rsidR="00EA7624">
        <w:t xml:space="preserve"> Spiranovic </w:t>
      </w:r>
      <w:r w:rsidR="00F17E6B">
        <w:t>et al.</w:t>
      </w:r>
      <w:r w:rsidR="00EA7624">
        <w:t xml:space="preserve"> (2012)</w:t>
      </w:r>
      <w:r w:rsidR="00874E57">
        <w:t xml:space="preserve"> and Simpson and Butler (2015), Fitzgerald </w:t>
      </w:r>
      <w:r w:rsidR="00F17E6B">
        <w:t>et al.</w:t>
      </w:r>
      <w:r w:rsidR="00874E57">
        <w:t xml:space="preserve"> and Gately </w:t>
      </w:r>
      <w:r w:rsidR="00F17E6B">
        <w:t>et al.</w:t>
      </w:r>
      <w:r w:rsidR="00874E57">
        <w:t xml:space="preserve"> also found support for rehabilitation. </w:t>
      </w:r>
      <w:r w:rsidR="006E1D44">
        <w:t xml:space="preserve">In addition, </w:t>
      </w:r>
      <w:r w:rsidR="00874E57">
        <w:t xml:space="preserve">Fitzgerald </w:t>
      </w:r>
      <w:r w:rsidR="00F17E6B">
        <w:t>et al.</w:t>
      </w:r>
      <w:r w:rsidR="00874E57">
        <w:t>’s finding that respondents generally have confidence in parole boards aligns with the finding in Victoria that most respondents thought that courts choose an appropriate sentence most of the time (Gelb</w:t>
      </w:r>
      <w:r w:rsidR="00F17E6B">
        <w:t>, 201</w:t>
      </w:r>
      <w:r w:rsidR="00874E57">
        <w:t>1b).</w:t>
      </w:r>
    </w:p>
    <w:p w14:paraId="73E83DBB" w14:textId="0E130276" w:rsidR="002354AF" w:rsidRPr="002354AF" w:rsidRDefault="00874E57" w:rsidP="00C5488C">
      <w:pPr>
        <w:pStyle w:val="Para15"/>
      </w:pPr>
      <w:r>
        <w:t xml:space="preserve">The findings </w:t>
      </w:r>
      <w:r w:rsidR="00386C44">
        <w:t xml:space="preserve">from the sentencing research also </w:t>
      </w:r>
      <w:r>
        <w:t xml:space="preserve">point to two future areas of inquiry in parole research. </w:t>
      </w:r>
      <w:r w:rsidR="00752BD7">
        <w:t>Firstly</w:t>
      </w:r>
      <w:r>
        <w:t xml:space="preserve">, it would be of significant interest to disaggregate the data from Fitzgerald </w:t>
      </w:r>
      <w:r w:rsidR="00F17E6B">
        <w:t>et al.</w:t>
      </w:r>
      <w:r>
        <w:t>’s national study to determine if Robert</w:t>
      </w:r>
      <w:r w:rsidR="00752BD7">
        <w:t>s</w:t>
      </w:r>
      <w:r>
        <w:t xml:space="preserve">, Spiranovic and Indermaur’s (2011) findings – that </w:t>
      </w:r>
      <w:r w:rsidR="00386C44">
        <w:t xml:space="preserve">differences in policy are not related to public attitudes – are replicated in relation to parole. Secondly, the research by Lovegrove and Warner </w:t>
      </w:r>
      <w:r w:rsidR="00F17E6B">
        <w:t>et al.</w:t>
      </w:r>
      <w:r w:rsidR="00386C44">
        <w:t xml:space="preserve"> shows that providing members of the public with case-specific information brings their sentences into line with actual judicial practice, at least in respect of offences that do </w:t>
      </w:r>
      <w:r w:rsidR="00F17E6B">
        <w:t>not involve sexual offending (but see</w:t>
      </w:r>
      <w:r w:rsidR="00386C44">
        <w:t xml:space="preserve"> Devilly and Le Grand</w:t>
      </w:r>
      <w:r w:rsidR="00F17E6B">
        <w:t>, 201</w:t>
      </w:r>
      <w:r w:rsidR="00386C44">
        <w:t xml:space="preserve">5). Fitzgerald </w:t>
      </w:r>
      <w:r w:rsidR="00F17E6B">
        <w:t>et al.</w:t>
      </w:r>
      <w:r w:rsidR="00386C44">
        <w:t xml:space="preserve">’s ‘parole vignettes’ (2016: 313) will therefore provide a rich source of data to better understand and explore public opinion on parole. </w:t>
      </w:r>
      <w:r w:rsidR="00386C44">
        <w:lastRenderedPageBreak/>
        <w:t>Ideally, this would in turn inform policy and help Australia to move away from the punitive trends described in this article.</w:t>
      </w:r>
    </w:p>
    <w:p w14:paraId="40B9DE45" w14:textId="447FFAFB" w:rsidR="00F45A84" w:rsidRPr="00D66B5F" w:rsidRDefault="00D66B5F" w:rsidP="00D66B5F">
      <w:pPr>
        <w:pStyle w:val="Heading1"/>
      </w:pPr>
      <w:r w:rsidRPr="00C5488C">
        <w:rPr>
          <w:color w:val="000000" w:themeColor="text1"/>
        </w:rPr>
        <w:t>References</w:t>
      </w:r>
      <w:r w:rsidRPr="00D66B5F">
        <w:t xml:space="preserve"> </w:t>
      </w:r>
    </w:p>
    <w:p w14:paraId="0C7C4D5E" w14:textId="134A2619" w:rsidR="00F3455D" w:rsidRPr="006E274E" w:rsidRDefault="00F3455D" w:rsidP="00F3455D">
      <w:pPr>
        <w:pStyle w:val="Para15"/>
        <w:rPr>
          <w:shd w:val="clear" w:color="auto" w:fill="FFFFFF"/>
        </w:rPr>
      </w:pPr>
      <w:r w:rsidRPr="006E274E">
        <w:rPr>
          <w:b/>
          <w:shd w:val="clear" w:color="auto" w:fill="FFFFFF"/>
        </w:rPr>
        <w:t>ABS (2017</w:t>
      </w:r>
      <w:r>
        <w:rPr>
          <w:b/>
          <w:shd w:val="clear" w:color="auto" w:fill="FFFFFF"/>
        </w:rPr>
        <w:t>a</w:t>
      </w:r>
      <w:r w:rsidRPr="006E274E">
        <w:rPr>
          <w:b/>
          <w:shd w:val="clear" w:color="auto" w:fill="FFFFFF"/>
        </w:rPr>
        <w:t>)</w:t>
      </w:r>
      <w:r w:rsidRPr="006E274E">
        <w:rPr>
          <w:shd w:val="clear" w:color="auto" w:fill="FFFFFF"/>
        </w:rPr>
        <w:t xml:space="preserve"> ‘</w:t>
      </w:r>
      <w:r w:rsidRPr="006E274E">
        <w:rPr>
          <w:rFonts w:eastAsia="Times New Roman" w:cs="Arial"/>
          <w:color w:val="000000"/>
        </w:rPr>
        <w:t xml:space="preserve">Census: Aboriginal and Torres Strait Islander Population’, </w:t>
      </w:r>
      <w:r w:rsidRPr="006E274E">
        <w:rPr>
          <w:rFonts w:eastAsia="Times New Roman" w:cs="Arial"/>
          <w:i/>
          <w:color w:val="000000"/>
        </w:rPr>
        <w:t>Media Release</w:t>
      </w:r>
      <w:r w:rsidRPr="006E274E">
        <w:rPr>
          <w:rFonts w:eastAsia="Times New Roman" w:cs="Arial"/>
          <w:color w:val="000000"/>
        </w:rPr>
        <w:t xml:space="preserve">, 27 June. </w:t>
      </w:r>
      <w:r w:rsidRPr="006E274E">
        <w:rPr>
          <w:shd w:val="clear" w:color="auto" w:fill="FFFFFF"/>
        </w:rPr>
        <w:t>Canberra: ABS.</w:t>
      </w:r>
    </w:p>
    <w:p w14:paraId="4946F5FB" w14:textId="40F78A96" w:rsidR="00B179B2" w:rsidRDefault="006E274E" w:rsidP="007E25EA">
      <w:pPr>
        <w:pStyle w:val="Para15"/>
        <w:rPr>
          <w:shd w:val="clear" w:color="auto" w:fill="FFFFFF"/>
        </w:rPr>
      </w:pPr>
      <w:r>
        <w:rPr>
          <w:b/>
        </w:rPr>
        <w:t>ABS</w:t>
      </w:r>
      <w:r w:rsidR="00724002" w:rsidRPr="00037B0B">
        <w:rPr>
          <w:b/>
        </w:rPr>
        <w:t xml:space="preserve"> (2017</w:t>
      </w:r>
      <w:r w:rsidR="00F3455D">
        <w:rPr>
          <w:b/>
        </w:rPr>
        <w:t>b</w:t>
      </w:r>
      <w:r w:rsidR="00724002" w:rsidRPr="00037B0B">
        <w:rPr>
          <w:b/>
        </w:rPr>
        <w:t>)</w:t>
      </w:r>
      <w:r w:rsidR="00F45A84" w:rsidRPr="00037B0B">
        <w:t xml:space="preserve"> ‘Corrective </w:t>
      </w:r>
      <w:r w:rsidR="00F45A84" w:rsidRPr="00037B0B">
        <w:rPr>
          <w:shd w:val="clear" w:color="auto" w:fill="FFFFFF"/>
        </w:rPr>
        <w:t xml:space="preserve">Services, Australia, </w:t>
      </w:r>
      <w:r w:rsidR="00F3455D">
        <w:rPr>
          <w:shd w:val="clear" w:color="auto" w:fill="FFFFFF"/>
        </w:rPr>
        <w:t>June</w:t>
      </w:r>
      <w:r w:rsidR="00724002" w:rsidRPr="00037B0B">
        <w:rPr>
          <w:shd w:val="clear" w:color="auto" w:fill="FFFFFF"/>
        </w:rPr>
        <w:t xml:space="preserve"> Quarter</w:t>
      </w:r>
      <w:r w:rsidR="00F17E6B">
        <w:rPr>
          <w:shd w:val="clear" w:color="auto" w:fill="FFFFFF"/>
        </w:rPr>
        <w:t>, 201</w:t>
      </w:r>
      <w:r w:rsidR="00724002" w:rsidRPr="00037B0B">
        <w:rPr>
          <w:shd w:val="clear" w:color="auto" w:fill="FFFFFF"/>
        </w:rPr>
        <w:t>7’, Cat No 4512.0. Canberra: ABS</w:t>
      </w:r>
      <w:r w:rsidR="00F45A84" w:rsidRPr="00037B0B">
        <w:rPr>
          <w:shd w:val="clear" w:color="auto" w:fill="FFFFFF"/>
        </w:rPr>
        <w:t>.</w:t>
      </w:r>
    </w:p>
    <w:p w14:paraId="103C09CC" w14:textId="3EDF2E27" w:rsidR="00F15C0D" w:rsidRDefault="00F15C0D" w:rsidP="007E25EA">
      <w:pPr>
        <w:pStyle w:val="Para15"/>
      </w:pPr>
      <w:r w:rsidRPr="00037B0B">
        <w:rPr>
          <w:b/>
        </w:rPr>
        <w:t>Bartels</w:t>
      </w:r>
      <w:r w:rsidR="00724002" w:rsidRPr="00037B0B">
        <w:rPr>
          <w:b/>
        </w:rPr>
        <w:t>, L.</w:t>
      </w:r>
      <w:r w:rsidRPr="00037B0B">
        <w:rPr>
          <w:b/>
        </w:rPr>
        <w:t xml:space="preserve"> </w:t>
      </w:r>
      <w:r w:rsidR="00724002" w:rsidRPr="00037B0B">
        <w:rPr>
          <w:b/>
        </w:rPr>
        <w:t>(</w:t>
      </w:r>
      <w:r w:rsidRPr="00037B0B">
        <w:rPr>
          <w:b/>
        </w:rPr>
        <w:t>2013</w:t>
      </w:r>
      <w:r w:rsidR="00724002" w:rsidRPr="00037B0B">
        <w:rPr>
          <w:b/>
        </w:rPr>
        <w:t xml:space="preserve">) </w:t>
      </w:r>
      <w:r w:rsidR="00724002" w:rsidRPr="00037B0B">
        <w:t xml:space="preserve">‘Parole and Parole Authorities in Australia: A System in Crisis?’, in </w:t>
      </w:r>
      <w:r w:rsidR="00724002" w:rsidRPr="00037B0B">
        <w:rPr>
          <w:i/>
        </w:rPr>
        <w:t>Criminal Law Journal</w:t>
      </w:r>
      <w:r w:rsidR="00724002" w:rsidRPr="00037B0B">
        <w:t xml:space="preserve"> 37, pp. 357-376.</w:t>
      </w:r>
    </w:p>
    <w:p w14:paraId="1937D395" w14:textId="682DFECC" w:rsidR="00085CFC" w:rsidRPr="00085CFC" w:rsidRDefault="00085CFC" w:rsidP="007E25EA">
      <w:pPr>
        <w:pStyle w:val="Para15"/>
        <w:rPr>
          <w:b/>
        </w:rPr>
      </w:pPr>
      <w:r w:rsidRPr="00037B0B">
        <w:rPr>
          <w:b/>
        </w:rPr>
        <w:t>Bartels, L. (</w:t>
      </w:r>
      <w:r>
        <w:rPr>
          <w:b/>
        </w:rPr>
        <w:t>2017</w:t>
      </w:r>
      <w:r w:rsidRPr="00037B0B">
        <w:rPr>
          <w:b/>
        </w:rPr>
        <w:t>)</w:t>
      </w:r>
      <w:r>
        <w:rPr>
          <w:rFonts w:eastAsia="Calibri"/>
        </w:rPr>
        <w:t xml:space="preserve"> ‘Criminal Justice Law Reform Challenges for the Future: It’s Time to Curb Australia’s Prison A</w:t>
      </w:r>
      <w:r w:rsidRPr="000C6192">
        <w:rPr>
          <w:rFonts w:eastAsia="Calibri"/>
        </w:rPr>
        <w:t>ddiction’ in R</w:t>
      </w:r>
      <w:r>
        <w:rPr>
          <w:rFonts w:eastAsia="Calibri"/>
        </w:rPr>
        <w:t>.</w:t>
      </w:r>
      <w:r w:rsidRPr="000C6192">
        <w:rPr>
          <w:rFonts w:eastAsia="Calibri"/>
        </w:rPr>
        <w:t xml:space="preserve"> Levy </w:t>
      </w:r>
      <w:r w:rsidR="00F17E6B">
        <w:rPr>
          <w:rFonts w:eastAsia="Calibri"/>
        </w:rPr>
        <w:t>et al.</w:t>
      </w:r>
      <w:r>
        <w:rPr>
          <w:rFonts w:eastAsia="Calibri"/>
        </w:rPr>
        <w:t>,</w:t>
      </w:r>
      <w:r w:rsidRPr="000C6192">
        <w:rPr>
          <w:rFonts w:eastAsia="Calibri"/>
        </w:rPr>
        <w:t xml:space="preserve"> </w:t>
      </w:r>
      <w:r w:rsidRPr="00085CFC">
        <w:rPr>
          <w:rFonts w:eastAsia="Calibri"/>
        </w:rPr>
        <w:t>New Directions for Law in Australia: Essays in Contemporary Law Reform</w:t>
      </w:r>
      <w:r>
        <w:rPr>
          <w:rFonts w:eastAsia="Calibri"/>
        </w:rPr>
        <w:t>. Canberra:</w:t>
      </w:r>
      <w:r w:rsidRPr="000C6192">
        <w:rPr>
          <w:rFonts w:eastAsia="Calibri"/>
        </w:rPr>
        <w:t xml:space="preserve"> ANU Press</w:t>
      </w:r>
      <w:r>
        <w:rPr>
          <w:rFonts w:eastAsia="Calibri"/>
        </w:rPr>
        <w:t>.</w:t>
      </w:r>
    </w:p>
    <w:p w14:paraId="47266313" w14:textId="659691EB" w:rsidR="00724002" w:rsidRPr="00037B0B" w:rsidRDefault="00724002" w:rsidP="007E25EA">
      <w:pPr>
        <w:pStyle w:val="Para15"/>
      </w:pPr>
      <w:r w:rsidRPr="00037B0B">
        <w:rPr>
          <w:b/>
        </w:rPr>
        <w:t>Bartels, L., Warner, K. and Zdenkowski, G. (2014)</w:t>
      </w:r>
      <w:r w:rsidRPr="00037B0B">
        <w:t xml:space="preserve"> ‘National Research with Jurors on Sentences for Sexual Offenders’, in </w:t>
      </w:r>
      <w:r w:rsidRPr="00037B0B">
        <w:rPr>
          <w:i/>
        </w:rPr>
        <w:t>Judicial Officers’ Bulletin</w:t>
      </w:r>
      <w:r w:rsidRPr="00037B0B">
        <w:t xml:space="preserve"> 26(2), pp. 9-12.</w:t>
      </w:r>
    </w:p>
    <w:p w14:paraId="3497F806" w14:textId="2E8DB3FA" w:rsidR="00724002" w:rsidRDefault="00724002" w:rsidP="007E25EA">
      <w:pPr>
        <w:pStyle w:val="Para15"/>
      </w:pPr>
      <w:r w:rsidRPr="00037B0B">
        <w:rPr>
          <w:rFonts w:cs="Arial"/>
          <w:b/>
          <w:color w:val="131313"/>
          <w:lang w:val="en-US"/>
        </w:rPr>
        <w:t xml:space="preserve">Callinan, I. (2013) </w:t>
      </w:r>
      <w:r w:rsidRPr="00037B0B">
        <w:t>Review of the Parole System in Victoria. Melbourne.</w:t>
      </w:r>
    </w:p>
    <w:p w14:paraId="749B922E" w14:textId="620FF4DD" w:rsidR="007E7CAD" w:rsidRDefault="007E7CAD" w:rsidP="007E25EA">
      <w:pPr>
        <w:pStyle w:val="Para15"/>
      </w:pPr>
      <w:r w:rsidRPr="007E7CAD">
        <w:rPr>
          <w:b/>
        </w:rPr>
        <w:t>Council of Australian Governments (2017)</w:t>
      </w:r>
      <w:r>
        <w:t xml:space="preserve"> </w:t>
      </w:r>
      <w:r w:rsidRPr="007E7CAD">
        <w:rPr>
          <w:i/>
        </w:rPr>
        <w:t>COAG Meeting Communiqué</w:t>
      </w:r>
      <w:r>
        <w:t>, 9 June.</w:t>
      </w:r>
      <w:r w:rsidR="00CA0D39">
        <w:t xml:space="preserve"> </w:t>
      </w:r>
      <w:hyperlink r:id="rId8" w:history="1">
        <w:r w:rsidRPr="00481088">
          <w:rPr>
            <w:rStyle w:val="Hyperlink"/>
          </w:rPr>
          <w:t>https://www.coag.gov.au/sites/default/files/communique/20170609-communique.pdf</w:t>
        </w:r>
      </w:hyperlink>
      <w:r>
        <w:t xml:space="preserve"> </w:t>
      </w:r>
    </w:p>
    <w:p w14:paraId="5653AD92" w14:textId="4146BFBA" w:rsidR="00742FE5" w:rsidRDefault="00742FE5" w:rsidP="007E25EA">
      <w:pPr>
        <w:pStyle w:val="Para15"/>
      </w:pPr>
      <w:r>
        <w:rPr>
          <w:b/>
        </w:rPr>
        <w:t xml:space="preserve">Davis, J., Warner, K. and Bradfield, R. (2011) </w:t>
      </w:r>
      <w:r>
        <w:t xml:space="preserve">‘Interviewing the Jury: Three Case Studies from the Tasmanian Jury Sentencing Study’ in L. Bartels and K. Richards, </w:t>
      </w:r>
      <w:r w:rsidRPr="00742FE5">
        <w:t>Qualitative Criminology: Stories from the Field.</w:t>
      </w:r>
      <w:r>
        <w:t xml:space="preserve"> Sydney: Hawkins Press.</w:t>
      </w:r>
    </w:p>
    <w:p w14:paraId="5B00D4F1" w14:textId="77777777" w:rsidR="00E00BD2" w:rsidRDefault="00CE3052" w:rsidP="00C50E67">
      <w:pPr>
        <w:pStyle w:val="Para15"/>
      </w:pPr>
      <w:r>
        <w:rPr>
          <w:b/>
        </w:rPr>
        <w:t xml:space="preserve">Devilly, G. and Le Grand, J. (2015) </w:t>
      </w:r>
      <w:r>
        <w:t xml:space="preserve">‘Sentencing of </w:t>
      </w:r>
      <w:r w:rsidR="00E00BD2">
        <w:t>Gelb</w:t>
      </w:r>
    </w:p>
    <w:p w14:paraId="5FC40E6E" w14:textId="49F60C8C" w:rsidR="006E1D44" w:rsidRDefault="00CE3052" w:rsidP="00C50E67">
      <w:pPr>
        <w:pStyle w:val="Para15"/>
      </w:pPr>
      <w:r>
        <w:t xml:space="preserve">-Offenders: A Survey Study Investigating Judges’ Sentences and Community Perspectives’ in </w:t>
      </w:r>
      <w:r>
        <w:rPr>
          <w:i/>
        </w:rPr>
        <w:t>Pyschiatry, Psychology and Law</w:t>
      </w:r>
      <w:r>
        <w:t xml:space="preserve"> 22, pp. 184-197.</w:t>
      </w:r>
    </w:p>
    <w:p w14:paraId="5DB34370" w14:textId="77777777" w:rsidR="008F08F8" w:rsidRDefault="006E1D44" w:rsidP="008F08F8">
      <w:pPr>
        <w:pStyle w:val="Para15"/>
        <w:rPr>
          <w:rFonts w:eastAsia="Times New Roman" w:cs="Arial"/>
          <w:color w:val="000000"/>
          <w:shd w:val="clear" w:color="auto" w:fill="FFFFFF"/>
        </w:rPr>
      </w:pPr>
      <w:r w:rsidRPr="005F00BF">
        <w:rPr>
          <w:rFonts w:cs="Arial"/>
          <w:b/>
          <w:color w:val="222222"/>
          <w:shd w:val="clear" w:color="auto" w:fill="FFFFFF"/>
        </w:rPr>
        <w:t>Doble, J. (2002)</w:t>
      </w:r>
      <w:r w:rsidRPr="005F00BF">
        <w:rPr>
          <w:rFonts w:cs="Arial"/>
          <w:color w:val="222222"/>
          <w:shd w:val="clear" w:color="auto" w:fill="FFFFFF"/>
        </w:rPr>
        <w:t xml:space="preserve"> ‘Attitudes to Punishment in the US—Punitive and Liberal Opinions’ </w:t>
      </w:r>
      <w:r w:rsidR="005F00BF" w:rsidRPr="005F00BF">
        <w:rPr>
          <w:rFonts w:cs="Arial"/>
          <w:color w:val="222222"/>
          <w:shd w:val="clear" w:color="auto" w:fill="FFFFFF"/>
        </w:rPr>
        <w:t xml:space="preserve">in J. Roberts and M. Hough, </w:t>
      </w:r>
      <w:r w:rsidR="005F00BF" w:rsidRPr="005F00BF">
        <w:rPr>
          <w:rFonts w:eastAsia="Times New Roman" w:cs="Arial"/>
          <w:color w:val="000000"/>
          <w:shd w:val="clear" w:color="auto" w:fill="FFFFFF"/>
        </w:rPr>
        <w:t>Changing Attitudes to Punishment: Public Opinion, Crime and Justice. Devon: Willan Publishing.</w:t>
      </w:r>
    </w:p>
    <w:p w14:paraId="77CE2AA3" w14:textId="30080CF1" w:rsidR="008F08F8" w:rsidRPr="00916C62" w:rsidRDefault="008F08F8" w:rsidP="007E25EA">
      <w:pPr>
        <w:pStyle w:val="Para15"/>
        <w:rPr>
          <w:rFonts w:eastAsia="Times New Roman" w:cs="Arial"/>
          <w:color w:val="000000"/>
          <w:shd w:val="clear" w:color="auto" w:fill="FFFFFF"/>
        </w:rPr>
      </w:pPr>
      <w:r w:rsidRPr="008F08F8">
        <w:rPr>
          <w:b/>
        </w:rPr>
        <w:t>Doob, A. and Roberts, J. (1983)</w:t>
      </w:r>
      <w:r>
        <w:t xml:space="preserve"> </w:t>
      </w:r>
      <w:r w:rsidRPr="008F08F8">
        <w:rPr>
          <w:i/>
        </w:rPr>
        <w:t>Sentencing: An Analysis of the Public’s View of Sentencing</w:t>
      </w:r>
      <w:r>
        <w:t xml:space="preserve">. </w:t>
      </w:r>
      <w:r w:rsidR="00916C62">
        <w:t xml:space="preserve">Ottawa: </w:t>
      </w:r>
      <w:r w:rsidRPr="008F08F8">
        <w:t>Department of Justice, Canada</w:t>
      </w:r>
      <w:r w:rsidR="00916C62">
        <w:t>.</w:t>
      </w:r>
      <w:r w:rsidRPr="008F08F8">
        <w:t xml:space="preserve"> </w:t>
      </w:r>
    </w:p>
    <w:p w14:paraId="6E0113D0" w14:textId="177867D3" w:rsidR="00085CFC" w:rsidRPr="00085CFC" w:rsidRDefault="00085CFC" w:rsidP="007E25EA">
      <w:pPr>
        <w:pStyle w:val="Para15"/>
      </w:pPr>
      <w:r>
        <w:rPr>
          <w:b/>
        </w:rPr>
        <w:lastRenderedPageBreak/>
        <w:t xml:space="preserve">Freiberg, A. (2016) </w:t>
      </w:r>
      <w:r>
        <w:t xml:space="preserve">‘The Road Well Travelled in Australia: Ignoring the Past, Condemning the Future’ in </w:t>
      </w:r>
      <w:r>
        <w:rPr>
          <w:i/>
        </w:rPr>
        <w:t>Crime and Justice</w:t>
      </w:r>
      <w:r>
        <w:t xml:space="preserve"> 45, pp. 419-457.</w:t>
      </w:r>
    </w:p>
    <w:p w14:paraId="700923A0" w14:textId="59D6672A" w:rsidR="00960ACB" w:rsidRDefault="00960ACB" w:rsidP="007E25EA">
      <w:pPr>
        <w:pStyle w:val="Para15"/>
      </w:pPr>
      <w:r>
        <w:rPr>
          <w:b/>
        </w:rPr>
        <w:t>Freiberg, A. (forthcoming)</w:t>
      </w:r>
      <w:r>
        <w:t xml:space="preserve"> ‘Editorial: Parole, Populism and Penal Policy’, in </w:t>
      </w:r>
      <w:r>
        <w:rPr>
          <w:i/>
        </w:rPr>
        <w:t>Alternative Law Journal</w:t>
      </w:r>
      <w:r>
        <w:t>.</w:t>
      </w:r>
    </w:p>
    <w:p w14:paraId="26A66DFE" w14:textId="221EE775" w:rsidR="00960ACB" w:rsidRDefault="00960ACB" w:rsidP="007E25EA">
      <w:pPr>
        <w:pStyle w:val="Para15"/>
      </w:pPr>
      <w:r>
        <w:rPr>
          <w:b/>
        </w:rPr>
        <w:t xml:space="preserve">Freiberg, A.  (under review) </w:t>
      </w:r>
      <w:r>
        <w:t xml:space="preserve">‘Parole, Populism and Penal Policy’ in </w:t>
      </w:r>
      <w:r>
        <w:rPr>
          <w:i/>
        </w:rPr>
        <w:t>Queensland University of Technology Law Review</w:t>
      </w:r>
      <w:r>
        <w:t>.</w:t>
      </w:r>
    </w:p>
    <w:p w14:paraId="4C2558FD" w14:textId="44B36E32" w:rsidR="00962385" w:rsidRPr="00962385" w:rsidRDefault="00B9521C" w:rsidP="007E25EA">
      <w:pPr>
        <w:pStyle w:val="Para15"/>
        <w:rPr>
          <w:rFonts w:eastAsia="Times New Roman" w:cs="Arial"/>
          <w:color w:val="555555"/>
        </w:rPr>
      </w:pPr>
      <w:r w:rsidRPr="00962385">
        <w:rPr>
          <w:b/>
        </w:rPr>
        <w:t xml:space="preserve">Gainey, </w:t>
      </w:r>
      <w:r w:rsidR="00962385" w:rsidRPr="00962385">
        <w:rPr>
          <w:b/>
        </w:rPr>
        <w:t>R. and Payne, B (2003) ‘</w:t>
      </w:r>
      <w:r w:rsidR="00962385" w:rsidRPr="00962385">
        <w:rPr>
          <w:rFonts w:eastAsia="Times New Roman" w:cs="Arial"/>
          <w:color w:val="555555"/>
        </w:rPr>
        <w:t>Changing</w:t>
      </w:r>
      <w:r w:rsidR="00962385">
        <w:rPr>
          <w:rFonts w:eastAsia="Times New Roman" w:cs="Arial"/>
          <w:color w:val="555555"/>
        </w:rPr>
        <w:t xml:space="preserve"> Attitudes Toward House Arrest w</w:t>
      </w:r>
      <w:r w:rsidR="00962385" w:rsidRPr="00962385">
        <w:rPr>
          <w:rFonts w:eastAsia="Times New Roman" w:cs="Arial"/>
          <w:color w:val="555555"/>
        </w:rPr>
        <w:t xml:space="preserve">ith Electronic Monitoring: The Impact of a Single Presentation?’ in </w:t>
      </w:r>
      <w:r w:rsidR="00962385" w:rsidRPr="00962385">
        <w:rPr>
          <w:rFonts w:eastAsia="Times New Roman" w:cs="Arial"/>
          <w:i/>
          <w:color w:val="555555"/>
        </w:rPr>
        <w:t>International Journal of Offender Therapy and Comparative Criminology</w:t>
      </w:r>
      <w:r w:rsidR="00962385" w:rsidRPr="00962385">
        <w:rPr>
          <w:rFonts w:eastAsia="Times New Roman" w:cs="Arial"/>
          <w:color w:val="555555"/>
        </w:rPr>
        <w:t xml:space="preserve"> 47, pp. 196-209.</w:t>
      </w:r>
    </w:p>
    <w:p w14:paraId="69042B90" w14:textId="6690136A" w:rsidR="006E79D3" w:rsidRDefault="0047195F" w:rsidP="006E79D3">
      <w:pPr>
        <w:pStyle w:val="Para15"/>
      </w:pPr>
      <w:r>
        <w:rPr>
          <w:b/>
        </w:rPr>
        <w:t xml:space="preserve">Gately, N. </w:t>
      </w:r>
      <w:r w:rsidR="00F17E6B">
        <w:rPr>
          <w:b/>
        </w:rPr>
        <w:t>et al.</w:t>
      </w:r>
      <w:r>
        <w:rPr>
          <w:b/>
        </w:rPr>
        <w:t xml:space="preserve"> (2017), </w:t>
      </w:r>
      <w:r>
        <w:t xml:space="preserve">‘The Prisoners Review Board of Western Australia: What Do the Public Know About Parole?’ in </w:t>
      </w:r>
      <w:r>
        <w:rPr>
          <w:i/>
        </w:rPr>
        <w:t xml:space="preserve">Current Issues in Criminal Justice </w:t>
      </w:r>
      <w:r>
        <w:t>28, pp. 293-310.</w:t>
      </w:r>
    </w:p>
    <w:p w14:paraId="6FC3EF97" w14:textId="7C6E9A10" w:rsidR="006E79D3" w:rsidRPr="0047195F" w:rsidRDefault="006E79D3" w:rsidP="007E25EA">
      <w:pPr>
        <w:pStyle w:val="Para15"/>
      </w:pPr>
      <w:r w:rsidRPr="006E79D3">
        <w:rPr>
          <w:rFonts w:cs="Arial"/>
          <w:b/>
          <w:color w:val="000000" w:themeColor="text1"/>
        </w:rPr>
        <w:t>Gelb, K. (2006)</w:t>
      </w:r>
      <w:r>
        <w:rPr>
          <w:rFonts w:cs="Arial"/>
          <w:color w:val="000000" w:themeColor="text1"/>
        </w:rPr>
        <w:t xml:space="preserve"> </w:t>
      </w:r>
      <w:r w:rsidRPr="006E79D3">
        <w:rPr>
          <w:rFonts w:cs="Arial"/>
          <w:i/>
          <w:color w:val="000000" w:themeColor="text1"/>
        </w:rPr>
        <w:t>Myths and Misconceptions: Public Opinion versus Public Judgment about Sentencing</w:t>
      </w:r>
      <w:r>
        <w:rPr>
          <w:rFonts w:cs="Arial"/>
          <w:color w:val="000000" w:themeColor="text1"/>
        </w:rPr>
        <w:t>. Melbourne: VSAC.</w:t>
      </w:r>
    </w:p>
    <w:p w14:paraId="4DB938CF" w14:textId="77F692EC" w:rsidR="007B0F1E" w:rsidRPr="00037B0B" w:rsidRDefault="00D16407" w:rsidP="007E25EA">
      <w:pPr>
        <w:pStyle w:val="Para15"/>
      </w:pPr>
      <w:r w:rsidRPr="00037B0B">
        <w:rPr>
          <w:b/>
        </w:rPr>
        <w:t>Gelb,</w:t>
      </w:r>
      <w:r w:rsidR="00166C12" w:rsidRPr="00037B0B">
        <w:rPr>
          <w:b/>
        </w:rPr>
        <w:t xml:space="preserve"> K. (2011</w:t>
      </w:r>
      <w:r w:rsidR="00621453" w:rsidRPr="00037B0B">
        <w:rPr>
          <w:b/>
        </w:rPr>
        <w:t>a</w:t>
      </w:r>
      <w:r w:rsidR="00166C12" w:rsidRPr="00037B0B">
        <w:rPr>
          <w:b/>
        </w:rPr>
        <w:t>)</w:t>
      </w:r>
      <w:r w:rsidRPr="00037B0B">
        <w:t xml:space="preserve"> </w:t>
      </w:r>
      <w:r w:rsidRPr="00037B0B">
        <w:rPr>
          <w:i/>
        </w:rPr>
        <w:t>Alternatives to Imprisonment: Community Views in Victoria</w:t>
      </w:r>
      <w:r w:rsidR="00166C12" w:rsidRPr="00037B0B">
        <w:t>.</w:t>
      </w:r>
      <w:r w:rsidR="00621453" w:rsidRPr="00037B0B">
        <w:t xml:space="preserve"> </w:t>
      </w:r>
      <w:r w:rsidR="00166C12" w:rsidRPr="00037B0B">
        <w:t xml:space="preserve">Melbourne: </w:t>
      </w:r>
      <w:r w:rsidR="006E79D3">
        <w:t>VSAC</w:t>
      </w:r>
      <w:r w:rsidR="00166C12" w:rsidRPr="00037B0B">
        <w:t>.</w:t>
      </w:r>
    </w:p>
    <w:p w14:paraId="07582593" w14:textId="4E35FF13" w:rsidR="00621453" w:rsidRPr="00037B0B" w:rsidRDefault="00621453" w:rsidP="007E25EA">
      <w:pPr>
        <w:pStyle w:val="Para15"/>
      </w:pPr>
      <w:r w:rsidRPr="00037B0B">
        <w:rPr>
          <w:b/>
        </w:rPr>
        <w:t>Gelb, K. (2011b)</w:t>
      </w:r>
      <w:r w:rsidRPr="00037B0B">
        <w:t xml:space="preserve"> </w:t>
      </w:r>
      <w:r w:rsidRPr="00037B0B">
        <w:rPr>
          <w:i/>
        </w:rPr>
        <w:t>Predictors of Confidence: Community Views in Victoria</w:t>
      </w:r>
      <w:r w:rsidRPr="00037B0B">
        <w:t xml:space="preserve">. Melbourne: </w:t>
      </w:r>
      <w:r w:rsidR="006E79D3">
        <w:t>VSAC</w:t>
      </w:r>
      <w:r w:rsidRPr="00037B0B">
        <w:t>.</w:t>
      </w:r>
    </w:p>
    <w:p w14:paraId="58F11606" w14:textId="4BA6438C" w:rsidR="003945D3" w:rsidRDefault="00037B0B" w:rsidP="003945D3">
      <w:pPr>
        <w:pStyle w:val="Para15"/>
      </w:pPr>
      <w:r w:rsidRPr="00037B0B">
        <w:rPr>
          <w:b/>
        </w:rPr>
        <w:t>Gelb, K. (2011c)</w:t>
      </w:r>
      <w:r w:rsidRPr="00037B0B">
        <w:t xml:space="preserve"> </w:t>
      </w:r>
      <w:r w:rsidRPr="00037B0B">
        <w:rPr>
          <w:i/>
        </w:rPr>
        <w:t>Purposes of Sentencing: Community Views in Victoria</w:t>
      </w:r>
      <w:r w:rsidRPr="00037B0B">
        <w:t xml:space="preserve">. Melbourne: </w:t>
      </w:r>
      <w:r w:rsidR="006E79D3">
        <w:t>VSAC</w:t>
      </w:r>
      <w:r w:rsidRPr="00037B0B">
        <w:t>.</w:t>
      </w:r>
    </w:p>
    <w:p w14:paraId="257658F9" w14:textId="53A3E5EF" w:rsidR="003945D3" w:rsidRDefault="003945D3" w:rsidP="007E25EA">
      <w:pPr>
        <w:pStyle w:val="Para15"/>
      </w:pPr>
      <w:r w:rsidRPr="003945D3">
        <w:rPr>
          <w:b/>
        </w:rPr>
        <w:t>Gelb, K., Mackenzie, G. and Stobbs, N. (2015)</w:t>
      </w:r>
      <w:r>
        <w:t xml:space="preserve"> </w:t>
      </w:r>
      <w:r w:rsidRPr="00724002">
        <w:t xml:space="preserve">‘Sentencing and Public Confidence in Australia: The Dynamics and Foci of Small Group Deliberations’ </w:t>
      </w:r>
      <w:r>
        <w:t xml:space="preserve">in </w:t>
      </w:r>
      <w:r w:rsidRPr="00724002">
        <w:rPr>
          <w:i/>
        </w:rPr>
        <w:t>Australian and New Zealand Journal of Criminology</w:t>
      </w:r>
      <w:r w:rsidRPr="00724002">
        <w:t xml:space="preserve"> </w:t>
      </w:r>
      <w:r>
        <w:t xml:space="preserve">48, pp. </w:t>
      </w:r>
      <w:r w:rsidRPr="00724002">
        <w:t>219</w:t>
      </w:r>
      <w:r w:rsidR="00AB5AAD">
        <w:t>-237</w:t>
      </w:r>
      <w:r w:rsidRPr="00724002">
        <w:t>.</w:t>
      </w:r>
    </w:p>
    <w:p w14:paraId="15448673" w14:textId="6D11FEA7" w:rsidR="006B7447" w:rsidRPr="00DE72F3" w:rsidRDefault="006B7447" w:rsidP="006B7447">
      <w:pPr>
        <w:pStyle w:val="Para15"/>
      </w:pPr>
      <w:r>
        <w:rPr>
          <w:b/>
        </w:rPr>
        <w:t xml:space="preserve">Halstead, I. (2015) </w:t>
      </w:r>
      <w:r>
        <w:t>‘Public Confidence in the New South Wales Criminal Justice System:</w:t>
      </w:r>
      <w:r w:rsidR="00F17E6B">
        <w:t>, 201</w:t>
      </w:r>
      <w:r>
        <w:t xml:space="preserve">4 Update’. </w:t>
      </w:r>
      <w:r>
        <w:rPr>
          <w:i/>
        </w:rPr>
        <w:t>Crime and Justice Bulletin</w:t>
      </w:r>
      <w:r>
        <w:t xml:space="preserve"> </w:t>
      </w:r>
      <w:r>
        <w:rPr>
          <w:i/>
        </w:rPr>
        <w:t>No 182</w:t>
      </w:r>
      <w:r>
        <w:t>. Sydney: NSW Bureau of Crime Statistics and Research.</w:t>
      </w:r>
    </w:p>
    <w:p w14:paraId="7D851BEB" w14:textId="0AB6D6B1" w:rsidR="007E7CAD" w:rsidRDefault="007E7CAD" w:rsidP="007E25EA">
      <w:pPr>
        <w:pStyle w:val="Para15"/>
      </w:pPr>
      <w:r w:rsidRPr="007E7CAD">
        <w:rPr>
          <w:b/>
        </w:rPr>
        <w:t>Hunter, F. (2017)</w:t>
      </w:r>
      <w:r>
        <w:t xml:space="preserve"> ‘</w:t>
      </w:r>
      <w:r w:rsidRPr="0085596A">
        <w:t xml:space="preserve">Malcolm Turnbull </w:t>
      </w:r>
      <w:r>
        <w:t>P</w:t>
      </w:r>
      <w:r w:rsidRPr="0085596A">
        <w:t xml:space="preserve">ushes for </w:t>
      </w:r>
      <w:r>
        <w:t>N</w:t>
      </w:r>
      <w:r w:rsidRPr="0085596A">
        <w:t xml:space="preserve">ational </w:t>
      </w:r>
      <w:r>
        <w:t>P</w:t>
      </w:r>
      <w:r w:rsidRPr="0085596A">
        <w:t xml:space="preserve">arole </w:t>
      </w:r>
      <w:r>
        <w:t>L</w:t>
      </w:r>
      <w:r w:rsidRPr="0085596A">
        <w:t xml:space="preserve">aws to </w:t>
      </w:r>
      <w:r>
        <w:t>K</w:t>
      </w:r>
      <w:r w:rsidRPr="0085596A">
        <w:t xml:space="preserve">eep </w:t>
      </w:r>
      <w:r>
        <w:t>T</w:t>
      </w:r>
      <w:r w:rsidRPr="0085596A">
        <w:t xml:space="preserve">error </w:t>
      </w:r>
      <w:r>
        <w:t>O</w:t>
      </w:r>
      <w:r w:rsidRPr="0085596A">
        <w:t xml:space="preserve">ffenders </w:t>
      </w:r>
      <w:r>
        <w:t>L</w:t>
      </w:r>
      <w:r w:rsidRPr="0085596A">
        <w:t xml:space="preserve">ocked </w:t>
      </w:r>
      <w:r>
        <w:t>U</w:t>
      </w:r>
      <w:r w:rsidRPr="0085596A">
        <w:t>p</w:t>
      </w:r>
      <w:r>
        <w:t xml:space="preserve">’, </w:t>
      </w:r>
      <w:r w:rsidRPr="0085596A">
        <w:rPr>
          <w:i/>
        </w:rPr>
        <w:t>The Age</w:t>
      </w:r>
      <w:r>
        <w:t xml:space="preserve"> (online) 7 June</w:t>
      </w:r>
      <w:r w:rsidR="00F17E6B">
        <w:t>, 201</w:t>
      </w:r>
      <w:r>
        <w:t>7</w:t>
      </w:r>
      <w:r w:rsidR="00CA0D39">
        <w:t>.</w:t>
      </w:r>
      <w:r>
        <w:t xml:space="preserve"> </w:t>
      </w:r>
      <w:hyperlink r:id="rId9" w:history="1">
        <w:r w:rsidRPr="00481088">
          <w:rPr>
            <w:rStyle w:val="Hyperlink"/>
            <w:iCs/>
          </w:rPr>
          <w:t>http://www.theage.com.au/federal-politics/political-news/malcolm-turnbull-pushes-for-national-parole-laws-to-keep-terror-offenders-locked-up-20170606-gwlyzw.html</w:t>
        </w:r>
      </w:hyperlink>
      <w:r>
        <w:rPr>
          <w:iCs/>
        </w:rPr>
        <w:t xml:space="preserve"> </w:t>
      </w:r>
    </w:p>
    <w:p w14:paraId="3C67E129" w14:textId="4B6FF54E" w:rsidR="00F66703" w:rsidRDefault="00F66703" w:rsidP="007E25EA">
      <w:pPr>
        <w:pStyle w:val="Para15"/>
      </w:pPr>
      <w:r w:rsidRPr="00F66703">
        <w:rPr>
          <w:b/>
        </w:rPr>
        <w:lastRenderedPageBreak/>
        <w:t xml:space="preserve">Indermaur, D. </w:t>
      </w:r>
      <w:r w:rsidR="00F17E6B">
        <w:rPr>
          <w:b/>
        </w:rPr>
        <w:t>et al.</w:t>
      </w:r>
      <w:r w:rsidRPr="00F66703">
        <w:t xml:space="preserve"> </w:t>
      </w:r>
      <w:r w:rsidRPr="00F66703">
        <w:rPr>
          <w:b/>
        </w:rPr>
        <w:t>(2012)</w:t>
      </w:r>
      <w:r w:rsidRPr="00F66703">
        <w:t xml:space="preserve"> ‘A Matter of Judgement: The Effect of Information and De</w:t>
      </w:r>
      <w:r>
        <w:t>liberation on Public Attitudes t</w:t>
      </w:r>
      <w:r w:rsidRPr="00F66703">
        <w:t xml:space="preserve">o Punishment’ in </w:t>
      </w:r>
      <w:r w:rsidRPr="00F66703">
        <w:rPr>
          <w:i/>
        </w:rPr>
        <w:t xml:space="preserve">Punishment and Society </w:t>
      </w:r>
      <w:r>
        <w:t xml:space="preserve">14, pp. </w:t>
      </w:r>
      <w:r w:rsidRPr="00F66703">
        <w:t>147-165.</w:t>
      </w:r>
    </w:p>
    <w:p w14:paraId="487336AC" w14:textId="102188BD" w:rsidR="007E25EA" w:rsidRDefault="007E25EA" w:rsidP="007E25EA">
      <w:pPr>
        <w:pStyle w:val="Para15"/>
      </w:pPr>
      <w:r>
        <w:rPr>
          <w:b/>
        </w:rPr>
        <w:t>Jones</w:t>
      </w:r>
      <w:r w:rsidR="007A1F31">
        <w:rPr>
          <w:b/>
        </w:rPr>
        <w:t>, C. and Weatherburn, D. (2011)</w:t>
      </w:r>
      <w:r>
        <w:rPr>
          <w:b/>
        </w:rPr>
        <w:t xml:space="preserve"> </w:t>
      </w:r>
      <w:r w:rsidRPr="00724002">
        <w:t xml:space="preserve">‘Willingness To Pay For Rehabilitation Versus Punishment To Reduce Adult and Juvenile Crime’ </w:t>
      </w:r>
      <w:r>
        <w:t xml:space="preserve">in </w:t>
      </w:r>
      <w:r w:rsidRPr="00724002">
        <w:rPr>
          <w:i/>
        </w:rPr>
        <w:t>Australian Journal of Social Issues</w:t>
      </w:r>
      <w:r>
        <w:t xml:space="preserve"> 46, pp.</w:t>
      </w:r>
      <w:r w:rsidRPr="00724002">
        <w:t xml:space="preserve"> 9</w:t>
      </w:r>
      <w:r>
        <w:t>-27.</w:t>
      </w:r>
    </w:p>
    <w:p w14:paraId="22B6067D" w14:textId="2DCF7A81" w:rsidR="00C232C8" w:rsidRPr="00C232C8" w:rsidRDefault="00C232C8" w:rsidP="007E25EA">
      <w:pPr>
        <w:pStyle w:val="Para15"/>
      </w:pPr>
      <w:r>
        <w:rPr>
          <w:b/>
        </w:rPr>
        <w:t>Lovegrove, A. (2007)</w:t>
      </w:r>
      <w:r>
        <w:t xml:space="preserve"> ‘Public Opinion, Sentencing and Lenience: An Empirical Study Involving Judges Consulting the Community’ in </w:t>
      </w:r>
      <w:r>
        <w:rPr>
          <w:i/>
        </w:rPr>
        <w:t>Criminal Law Review</w:t>
      </w:r>
      <w:r>
        <w:t xml:space="preserve"> pp. 769-781.</w:t>
      </w:r>
    </w:p>
    <w:p w14:paraId="61F209E3" w14:textId="291A4A6D" w:rsidR="007A1F31" w:rsidRDefault="007A1F31" w:rsidP="007E25EA">
      <w:pPr>
        <w:pStyle w:val="Para15"/>
      </w:pPr>
      <w:r w:rsidRPr="007A1F31">
        <w:rPr>
          <w:b/>
        </w:rPr>
        <w:t>Lovegrove, A. (2011)</w:t>
      </w:r>
      <w:r>
        <w:t xml:space="preserve"> ‘Putting the Offender Back Into Sentencing: An Empirical Study of the Public’s Understanding of Personal Mitigation’ in </w:t>
      </w:r>
      <w:r>
        <w:rPr>
          <w:i/>
        </w:rPr>
        <w:t xml:space="preserve">Criminology and Criminal Justice </w:t>
      </w:r>
      <w:r>
        <w:t>11, pp. 37-57.</w:t>
      </w:r>
    </w:p>
    <w:p w14:paraId="2752A896" w14:textId="1EC0DB36" w:rsidR="007A1F31" w:rsidRPr="00211C67" w:rsidRDefault="007A1F31" w:rsidP="007E25EA">
      <w:pPr>
        <w:pStyle w:val="Para15"/>
      </w:pPr>
      <w:r w:rsidRPr="007A1F31">
        <w:rPr>
          <w:b/>
        </w:rPr>
        <w:t>L</w:t>
      </w:r>
      <w:r w:rsidR="00434C60">
        <w:rPr>
          <w:b/>
        </w:rPr>
        <w:t>ovegrove, A. (2013</w:t>
      </w:r>
      <w:r w:rsidRPr="007A1F31">
        <w:rPr>
          <w:b/>
        </w:rPr>
        <w:t>)</w:t>
      </w:r>
      <w:r>
        <w:t xml:space="preserve"> ‘</w:t>
      </w:r>
      <w:r w:rsidR="00211C67">
        <w:t xml:space="preserve">Sentencing and Public Opinion: An Empirical Study of Punitiveness and Lenience and Its Implications for Penal Moderation’ in </w:t>
      </w:r>
      <w:r w:rsidR="00211C67">
        <w:rPr>
          <w:i/>
        </w:rPr>
        <w:t>Australian and New Zealand Journal of Criminology</w:t>
      </w:r>
      <w:r w:rsidR="00211C67">
        <w:t xml:space="preserve"> 46, pp.</w:t>
      </w:r>
      <w:r w:rsidR="00F17E6B">
        <w:t>, 200</w:t>
      </w:r>
      <w:r w:rsidR="00211C67">
        <w:t>-220.</w:t>
      </w:r>
    </w:p>
    <w:p w14:paraId="45E0561D" w14:textId="1EBD58AD" w:rsidR="00CE77C8" w:rsidRDefault="0031259A" w:rsidP="007E25EA">
      <w:pPr>
        <w:pStyle w:val="Para15"/>
      </w:pPr>
      <w:r w:rsidRPr="00037B0B">
        <w:rPr>
          <w:b/>
        </w:rPr>
        <w:t>Mackenzie</w:t>
      </w:r>
      <w:r w:rsidR="00166C12" w:rsidRPr="00037B0B">
        <w:rPr>
          <w:b/>
        </w:rPr>
        <w:t xml:space="preserve">, G. </w:t>
      </w:r>
      <w:r w:rsidR="00F17E6B">
        <w:rPr>
          <w:b/>
        </w:rPr>
        <w:t>et al.</w:t>
      </w:r>
      <w:r w:rsidR="00166C12" w:rsidRPr="00037B0B">
        <w:rPr>
          <w:b/>
        </w:rPr>
        <w:t xml:space="preserve"> (2012)</w:t>
      </w:r>
      <w:r w:rsidRPr="00037B0B">
        <w:t xml:space="preserve"> ‘Sentencing and Public Confidence: Results From A National Australian Survey on Public Opinions Towards Sentencing’ </w:t>
      </w:r>
      <w:r w:rsidR="00166C12" w:rsidRPr="00037B0B">
        <w:t xml:space="preserve">in </w:t>
      </w:r>
      <w:r w:rsidRPr="00037B0B">
        <w:rPr>
          <w:i/>
        </w:rPr>
        <w:t>Australian and New Zealand Journal of Criminology</w:t>
      </w:r>
      <w:r w:rsidR="00166C12" w:rsidRPr="00037B0B">
        <w:t xml:space="preserve"> 45, pp.</w:t>
      </w:r>
      <w:r w:rsidRPr="00037B0B">
        <w:rPr>
          <w:i/>
        </w:rPr>
        <w:t xml:space="preserve"> </w:t>
      </w:r>
      <w:r w:rsidRPr="00037B0B">
        <w:t>45</w:t>
      </w:r>
      <w:r w:rsidR="00037B0B">
        <w:t>-65</w:t>
      </w:r>
      <w:r w:rsidRPr="00037B0B">
        <w:t>.</w:t>
      </w:r>
    </w:p>
    <w:p w14:paraId="6D2DC1C4" w14:textId="44DD738C" w:rsidR="00331860" w:rsidRDefault="00331860" w:rsidP="007E25EA">
      <w:pPr>
        <w:pStyle w:val="Para15"/>
      </w:pPr>
      <w:r w:rsidRPr="00331860">
        <w:rPr>
          <w:b/>
        </w:rPr>
        <w:t xml:space="preserve">Mackenzie, G. </w:t>
      </w:r>
      <w:r w:rsidR="00F17E6B">
        <w:rPr>
          <w:b/>
        </w:rPr>
        <w:t>et al.</w:t>
      </w:r>
      <w:r w:rsidRPr="00331860">
        <w:rPr>
          <w:b/>
        </w:rPr>
        <w:t xml:space="preserve"> (2014)</w:t>
      </w:r>
      <w:r w:rsidRPr="00331860">
        <w:t xml:space="preserve"> ‘Measuring the Effects of Small Group Deliberation on Public Attitudes Towards Sentencing: Benefits and Challenges’ in </w:t>
      </w:r>
      <w:r w:rsidRPr="00331860">
        <w:rPr>
          <w:i/>
        </w:rPr>
        <w:t xml:space="preserve">Current Issues in Criminal Justice </w:t>
      </w:r>
      <w:r w:rsidRPr="00331860">
        <w:t>25, pp.</w:t>
      </w:r>
      <w:r w:rsidRPr="00331860">
        <w:rPr>
          <w:i/>
        </w:rPr>
        <w:t xml:space="preserve"> </w:t>
      </w:r>
      <w:r w:rsidRPr="00331860">
        <w:t>745-761.</w:t>
      </w:r>
    </w:p>
    <w:p w14:paraId="12B3E581" w14:textId="752A4ADD" w:rsidR="00A6011C" w:rsidRDefault="00A6011C" w:rsidP="007E25EA">
      <w:pPr>
        <w:pStyle w:val="Para15"/>
      </w:pPr>
      <w:r w:rsidRPr="00A6011C">
        <w:rPr>
          <w:b/>
          <w:i/>
        </w:rPr>
        <w:t>Power v The Queen</w:t>
      </w:r>
      <w:r w:rsidRPr="00A6011C">
        <w:rPr>
          <w:b/>
        </w:rPr>
        <w:t xml:space="preserve"> (1974)</w:t>
      </w:r>
      <w:r>
        <w:t xml:space="preserve"> 131 CLR 623.</w:t>
      </w:r>
    </w:p>
    <w:p w14:paraId="5F4D8CBA" w14:textId="3051AA5A" w:rsidR="00FE4AAA" w:rsidRDefault="00FE4AAA" w:rsidP="007E25EA">
      <w:pPr>
        <w:pStyle w:val="Para15"/>
      </w:pPr>
      <w:r w:rsidRPr="00FE4AAA">
        <w:rPr>
          <w:b/>
        </w:rPr>
        <w:t>Queensland Government (2017)</w:t>
      </w:r>
      <w:r>
        <w:t xml:space="preserve"> </w:t>
      </w:r>
      <w:r w:rsidRPr="00B343C7">
        <w:rPr>
          <w:i/>
        </w:rPr>
        <w:t>Response to Queensland Parole System Review Recommendations</w:t>
      </w:r>
      <w:r>
        <w:t>. Brisbane</w:t>
      </w:r>
      <w:r w:rsidR="00C91AC1">
        <w:t>.</w:t>
      </w:r>
      <w:r>
        <w:t xml:space="preserve"> </w:t>
      </w:r>
    </w:p>
    <w:p w14:paraId="309E2101" w14:textId="0887DD9D" w:rsidR="00FE4AAA" w:rsidRDefault="00F45A84" w:rsidP="007E25EA">
      <w:pPr>
        <w:pStyle w:val="Para15"/>
      </w:pPr>
      <w:r w:rsidRPr="00CE77C8">
        <w:rPr>
          <w:b/>
        </w:rPr>
        <w:t xml:space="preserve">Roberts, </w:t>
      </w:r>
      <w:r w:rsidR="00037B0B" w:rsidRPr="00CE77C8">
        <w:rPr>
          <w:b/>
        </w:rPr>
        <w:t xml:space="preserve">L., </w:t>
      </w:r>
      <w:r w:rsidRPr="00CE77C8">
        <w:rPr>
          <w:b/>
        </w:rPr>
        <w:t>Spiranovic</w:t>
      </w:r>
      <w:r w:rsidR="00037B0B" w:rsidRPr="00CE77C8">
        <w:rPr>
          <w:b/>
        </w:rPr>
        <w:t>, C.</w:t>
      </w:r>
      <w:r w:rsidRPr="00CE77C8">
        <w:rPr>
          <w:b/>
        </w:rPr>
        <w:t xml:space="preserve"> and Indermaur,</w:t>
      </w:r>
      <w:r w:rsidR="00037B0B" w:rsidRPr="00CE77C8">
        <w:rPr>
          <w:b/>
        </w:rPr>
        <w:t xml:space="preserve"> D. (2011)</w:t>
      </w:r>
      <w:r w:rsidRPr="00CE77C8">
        <w:t xml:space="preserve"> ‘</w:t>
      </w:r>
      <w:r w:rsidRPr="00CE77C8">
        <w:rPr>
          <w:bCs/>
        </w:rPr>
        <w:t>A Country Not Divided: A Comparison of Public Punitiveness and Confidence in Sentencing across Australia’</w:t>
      </w:r>
      <w:r w:rsidR="00037B0B" w:rsidRPr="00CE77C8">
        <w:rPr>
          <w:bCs/>
        </w:rPr>
        <w:t>,</w:t>
      </w:r>
      <w:r w:rsidRPr="00CE77C8">
        <w:rPr>
          <w:bCs/>
        </w:rPr>
        <w:t xml:space="preserve"> </w:t>
      </w:r>
      <w:r w:rsidR="0033492A">
        <w:rPr>
          <w:bCs/>
        </w:rPr>
        <w:t xml:space="preserve">in </w:t>
      </w:r>
      <w:r w:rsidRPr="00CE77C8">
        <w:rPr>
          <w:i/>
        </w:rPr>
        <w:t xml:space="preserve">Australian and New Zealand Journal of Criminology </w:t>
      </w:r>
      <w:r w:rsidR="00037B0B" w:rsidRPr="00CE77C8">
        <w:t xml:space="preserve">44, pp. </w:t>
      </w:r>
      <w:r w:rsidRPr="00CE77C8">
        <w:t>370</w:t>
      </w:r>
      <w:r w:rsidR="00037B0B" w:rsidRPr="00CE77C8">
        <w:t>-</w:t>
      </w:r>
      <w:r w:rsidR="00CE77C8" w:rsidRPr="00CE77C8">
        <w:t>386.</w:t>
      </w:r>
    </w:p>
    <w:p w14:paraId="0277AD0B" w14:textId="4147C2C0" w:rsidR="00607DFB" w:rsidRDefault="00607DFB" w:rsidP="007E25EA">
      <w:pPr>
        <w:pStyle w:val="Para15"/>
      </w:pPr>
      <w:r w:rsidRPr="00607DFB">
        <w:rPr>
          <w:b/>
        </w:rPr>
        <w:t xml:space="preserve">Roberts, J. </w:t>
      </w:r>
      <w:r w:rsidR="00F17E6B">
        <w:rPr>
          <w:b/>
        </w:rPr>
        <w:t>et al.</w:t>
      </w:r>
      <w:r w:rsidRPr="00607DFB">
        <w:rPr>
          <w:b/>
        </w:rPr>
        <w:t xml:space="preserve"> (2003)</w:t>
      </w:r>
      <w:r>
        <w:t xml:space="preserve"> </w:t>
      </w:r>
      <w:r>
        <w:rPr>
          <w:i/>
          <w:iCs/>
        </w:rPr>
        <w:t>Penal Populism and Public Opinion: Lessons from Five Countries</w:t>
      </w:r>
      <w:r>
        <w:t>. New York: Oxford University Press.</w:t>
      </w:r>
    </w:p>
    <w:p w14:paraId="473CD201" w14:textId="4C564540" w:rsidR="00CA0D39" w:rsidRPr="00CA0D39" w:rsidRDefault="00CA0D39" w:rsidP="007E25EA">
      <w:pPr>
        <w:pStyle w:val="Para15"/>
      </w:pPr>
      <w:r>
        <w:rPr>
          <w:b/>
        </w:rPr>
        <w:lastRenderedPageBreak/>
        <w:t xml:space="preserve">Sarre, R. and Bartels, L. (2017) </w:t>
      </w:r>
      <w:r>
        <w:t xml:space="preserve">‘Tougher National Parole Laws Won’t End the Violence’, </w:t>
      </w:r>
      <w:r>
        <w:rPr>
          <w:i/>
        </w:rPr>
        <w:t>The Conversation</w:t>
      </w:r>
      <w:r>
        <w:t xml:space="preserve">, 7 June. </w:t>
      </w:r>
      <w:hyperlink r:id="rId10" w:history="1">
        <w:r w:rsidRPr="00481088">
          <w:rPr>
            <w:rStyle w:val="Hyperlink"/>
          </w:rPr>
          <w:t>https://theconversation.com/tougher-national-parole-laws-wont-end-the-violence-78985</w:t>
        </w:r>
      </w:hyperlink>
      <w:r>
        <w:t xml:space="preserve"> </w:t>
      </w:r>
    </w:p>
    <w:p w14:paraId="5D3B7E49" w14:textId="4E688E8F" w:rsidR="00A600A4" w:rsidRDefault="007E25EA" w:rsidP="007E25EA">
      <w:pPr>
        <w:pStyle w:val="Para15"/>
        <w:rPr>
          <w:rStyle w:val="Hyperlink"/>
          <w:lang w:val="en-US"/>
        </w:rPr>
      </w:pPr>
      <w:r w:rsidRPr="007E25EA">
        <w:rPr>
          <w:rFonts w:cs="OpenSans"/>
          <w:b/>
          <w:lang w:val="en-US"/>
        </w:rPr>
        <w:t>Simpson</w:t>
      </w:r>
      <w:r w:rsidRPr="007E25EA">
        <w:rPr>
          <w:rFonts w:cs="OpenSans"/>
          <w:b/>
        </w:rPr>
        <w:t>, P.</w:t>
      </w:r>
      <w:r w:rsidRPr="007E25EA">
        <w:rPr>
          <w:rFonts w:cs="OpenSans"/>
          <w:b/>
          <w:lang w:val="en-US"/>
        </w:rPr>
        <w:t xml:space="preserve"> and Butler, </w:t>
      </w:r>
      <w:r w:rsidRPr="007E25EA">
        <w:rPr>
          <w:rFonts w:cs="OpenSans"/>
          <w:b/>
        </w:rPr>
        <w:t>T. (2015)</w:t>
      </w:r>
      <w:r>
        <w:rPr>
          <w:rFonts w:cs="OpenSans"/>
        </w:rPr>
        <w:t xml:space="preserve"> </w:t>
      </w:r>
      <w:r w:rsidRPr="00724002">
        <w:rPr>
          <w:rFonts w:cs="OpenSans"/>
          <w:lang w:val="en-US"/>
        </w:rPr>
        <w:t>‘</w:t>
      </w:r>
      <w:r w:rsidRPr="00724002">
        <w:rPr>
          <w:rFonts w:cs="Helvetica Neue"/>
          <w:bCs/>
          <w:color w:val="2A2A2A"/>
          <w:lang w:val="en-US"/>
        </w:rPr>
        <w:t xml:space="preserve">Imprisonment and Its Alternatives: What Do the Public Really Think?’, </w:t>
      </w:r>
      <w:r w:rsidRPr="00724002">
        <w:rPr>
          <w:rFonts w:cs="Helvetica Neue"/>
          <w:bCs/>
          <w:i/>
          <w:color w:val="2A2A2A"/>
          <w:lang w:val="en-US"/>
        </w:rPr>
        <w:t>The Conversation</w:t>
      </w:r>
      <w:r w:rsidRPr="00724002">
        <w:rPr>
          <w:rFonts w:cs="Helvetica Neue"/>
          <w:bCs/>
          <w:color w:val="2A2A2A"/>
          <w:lang w:val="en-US"/>
        </w:rPr>
        <w:t>, 19 June</w:t>
      </w:r>
      <w:r w:rsidR="00CA0D39">
        <w:rPr>
          <w:rFonts w:cs="Helvetica Neue"/>
          <w:bCs/>
          <w:color w:val="2A2A2A"/>
          <w:lang w:val="en-US"/>
        </w:rPr>
        <w:t>.</w:t>
      </w:r>
      <w:r w:rsidRPr="00724002">
        <w:rPr>
          <w:rFonts w:cs="Helvetica Neue"/>
          <w:bCs/>
          <w:color w:val="2A2A2A"/>
          <w:lang w:val="en-US"/>
        </w:rPr>
        <w:t xml:space="preserve"> </w:t>
      </w:r>
      <w:hyperlink r:id="rId11" w:history="1">
        <w:r w:rsidR="00CA0D39" w:rsidRPr="00481088">
          <w:rPr>
            <w:rStyle w:val="Hyperlink"/>
            <w:lang w:val="en-US"/>
          </w:rPr>
          <w:t>https://theconversation.com/ imprisonment-and-its-alternatives-what-do-the-public-really-think-40375</w:t>
        </w:r>
      </w:hyperlink>
    </w:p>
    <w:p w14:paraId="1C31EE33" w14:textId="573D2462" w:rsidR="00A600A4" w:rsidRPr="00A600A4" w:rsidRDefault="00A600A4" w:rsidP="007E25EA">
      <w:pPr>
        <w:pStyle w:val="Para15"/>
      </w:pPr>
      <w:r>
        <w:rPr>
          <w:b/>
        </w:rPr>
        <w:t xml:space="preserve">Simpson, P. </w:t>
      </w:r>
      <w:r w:rsidR="00F17E6B">
        <w:rPr>
          <w:b/>
        </w:rPr>
        <w:t>et al.</w:t>
      </w:r>
      <w:r>
        <w:rPr>
          <w:b/>
        </w:rPr>
        <w:t xml:space="preserve"> (2015) </w:t>
      </w:r>
      <w:r>
        <w:t xml:space="preserve">‘Assessing the Public’s View on Prison and Prison Alternatives: Findings from Public Deliberation Research in Three Australian Cities’ in </w:t>
      </w:r>
      <w:r>
        <w:rPr>
          <w:i/>
        </w:rPr>
        <w:t>Journal of Public Deliberation</w:t>
      </w:r>
      <w:r>
        <w:t xml:space="preserve"> </w:t>
      </w:r>
      <w:r w:rsidR="00CD5C58">
        <w:t>11(2), pp. 1-22.</w:t>
      </w:r>
    </w:p>
    <w:p w14:paraId="1F1912C9" w14:textId="428BE3BC" w:rsidR="00FE4AAA" w:rsidRDefault="00FE4AAA" w:rsidP="007E25EA">
      <w:pPr>
        <w:pStyle w:val="Para15"/>
      </w:pPr>
      <w:r w:rsidRPr="00FE4AAA">
        <w:rPr>
          <w:b/>
        </w:rPr>
        <w:t xml:space="preserve">Sofronoff W. (2016) </w:t>
      </w:r>
      <w:r w:rsidRPr="001F5C9C">
        <w:rPr>
          <w:i/>
        </w:rPr>
        <w:t>Queensland: Parole System Review, Final Report</w:t>
      </w:r>
      <w:r>
        <w:t xml:space="preserve">. Brisbane: </w:t>
      </w:r>
      <w:r w:rsidRPr="001F5C9C">
        <w:t>Department of Justice and Attorney-Genera</w:t>
      </w:r>
      <w:r>
        <w:t>l.</w:t>
      </w:r>
    </w:p>
    <w:p w14:paraId="088D23F8" w14:textId="082993D0" w:rsidR="007E25EA" w:rsidRPr="007E25EA" w:rsidRDefault="007E25EA" w:rsidP="007E25EA">
      <w:pPr>
        <w:pStyle w:val="Para15"/>
        <w:rPr>
          <w:rFonts w:cs="Arial"/>
          <w:color w:val="000000" w:themeColor="text1"/>
          <w:lang w:val="en-US"/>
        </w:rPr>
      </w:pPr>
      <w:r w:rsidRPr="007E25EA">
        <w:rPr>
          <w:b/>
        </w:rPr>
        <w:t xml:space="preserve">Spiranovic, C., </w:t>
      </w:r>
      <w:r w:rsidR="00F17E6B">
        <w:rPr>
          <w:b/>
        </w:rPr>
        <w:t>et al.</w:t>
      </w:r>
      <w:r w:rsidRPr="007E25EA">
        <w:rPr>
          <w:b/>
        </w:rPr>
        <w:t xml:space="preserve"> (2012)</w:t>
      </w:r>
      <w:r w:rsidRPr="007E25EA">
        <w:t xml:space="preserve"> ‘Public Preferences For Sentencing Purposes: What Differences Does Offender Age, Criminal History and Offence Type Make?’ in </w:t>
      </w:r>
      <w:r w:rsidRPr="007E25EA">
        <w:rPr>
          <w:i/>
        </w:rPr>
        <w:t>Criminology and Criminal Justice</w:t>
      </w:r>
      <w:r w:rsidRPr="007E25EA">
        <w:t xml:space="preserve"> 12, pp. 289-306.</w:t>
      </w:r>
    </w:p>
    <w:p w14:paraId="75CF41CE" w14:textId="13717B1F" w:rsidR="007E25EA" w:rsidRPr="007E25EA" w:rsidRDefault="00F45A84" w:rsidP="007E25EA">
      <w:pPr>
        <w:pStyle w:val="Para15"/>
      </w:pPr>
      <w:r w:rsidRPr="007E25EA">
        <w:rPr>
          <w:b/>
        </w:rPr>
        <w:t>Tubex</w:t>
      </w:r>
      <w:r w:rsidR="0003324F" w:rsidRPr="007E25EA">
        <w:rPr>
          <w:b/>
        </w:rPr>
        <w:t xml:space="preserve">, H. </w:t>
      </w:r>
      <w:r w:rsidR="00F17E6B">
        <w:rPr>
          <w:b/>
        </w:rPr>
        <w:t>et al.</w:t>
      </w:r>
      <w:r w:rsidRPr="007E25EA">
        <w:rPr>
          <w:b/>
        </w:rPr>
        <w:t xml:space="preserve"> </w:t>
      </w:r>
      <w:r w:rsidR="0003324F" w:rsidRPr="007E25EA">
        <w:rPr>
          <w:b/>
        </w:rPr>
        <w:t>(2015</w:t>
      </w:r>
      <w:r w:rsidR="0003324F" w:rsidRPr="007E25EA">
        <w:t>)</w:t>
      </w:r>
      <w:r w:rsidRPr="007E25EA">
        <w:t xml:space="preserve"> </w:t>
      </w:r>
      <w:r w:rsidR="0003324F" w:rsidRPr="007E25EA">
        <w:t>‘Penal Diversity Within Australia’, in</w:t>
      </w:r>
      <w:r w:rsidRPr="007E25EA">
        <w:t xml:space="preserve"> </w:t>
      </w:r>
      <w:r w:rsidRPr="007E25EA">
        <w:rPr>
          <w:i/>
        </w:rPr>
        <w:t>Punishment and Society</w:t>
      </w:r>
      <w:r w:rsidR="0003324F" w:rsidRPr="007E25EA">
        <w:t xml:space="preserve"> 17, pp.</w:t>
      </w:r>
      <w:r w:rsidRPr="007E25EA">
        <w:t xml:space="preserve"> 345-373.</w:t>
      </w:r>
    </w:p>
    <w:p w14:paraId="27BA045C" w14:textId="2DD33D4A" w:rsidR="0033492A" w:rsidRDefault="00F74BC3" w:rsidP="007E25EA">
      <w:pPr>
        <w:pStyle w:val="Para15"/>
      </w:pPr>
      <w:r>
        <w:rPr>
          <w:b/>
        </w:rPr>
        <w:t xml:space="preserve">Warner, K. (2014) </w:t>
      </w:r>
      <w:r>
        <w:t xml:space="preserve">‘The Australian National Jury Sex Offence Sentencing Study’, in </w:t>
      </w:r>
      <w:r>
        <w:rPr>
          <w:i/>
        </w:rPr>
        <w:t>Judicial Review</w:t>
      </w:r>
      <w:r>
        <w:t xml:space="preserve"> 11, pp. 459-480.</w:t>
      </w:r>
    </w:p>
    <w:p w14:paraId="74DAE3DA" w14:textId="77777777" w:rsidR="00742FE5" w:rsidRDefault="00742FE5" w:rsidP="00742FE5">
      <w:pPr>
        <w:pStyle w:val="Para15"/>
      </w:pPr>
      <w:r>
        <w:rPr>
          <w:b/>
        </w:rPr>
        <w:t xml:space="preserve">Warner, K. and Davis, J. (2012) </w:t>
      </w:r>
      <w:r>
        <w:t xml:space="preserve">‘Using Jurors to Explore Public Attitudes to Sentencing’ in </w:t>
      </w:r>
      <w:r>
        <w:rPr>
          <w:i/>
        </w:rPr>
        <w:t>British Journal of Criminology</w:t>
      </w:r>
      <w:r>
        <w:t xml:space="preserve"> 52, pp. 93-112.</w:t>
      </w:r>
    </w:p>
    <w:p w14:paraId="400AAEA6" w14:textId="78859501" w:rsidR="00742FE5" w:rsidRPr="00742FE5" w:rsidRDefault="00742FE5" w:rsidP="007E25EA">
      <w:pPr>
        <w:pStyle w:val="Para15"/>
      </w:pPr>
      <w:r>
        <w:rPr>
          <w:b/>
        </w:rPr>
        <w:t xml:space="preserve">Warner, K. and Davis, J. (2013) </w:t>
      </w:r>
      <w:r>
        <w:t xml:space="preserve">‘Involving Juries in Sentencing: Insights from the Tasmanian Jury Study’ in </w:t>
      </w:r>
      <w:r>
        <w:rPr>
          <w:i/>
        </w:rPr>
        <w:t>Criminal Law Journal</w:t>
      </w:r>
      <w:r>
        <w:t xml:space="preserve"> 37, pp. 246-256.</w:t>
      </w:r>
    </w:p>
    <w:p w14:paraId="16993A3A" w14:textId="76D3939F" w:rsidR="00F74BC3" w:rsidRDefault="00F74BC3" w:rsidP="007E25EA">
      <w:pPr>
        <w:pStyle w:val="Para15"/>
      </w:pPr>
      <w:r w:rsidRPr="00E16A60">
        <w:rPr>
          <w:b/>
        </w:rPr>
        <w:t>Warner, K. and Spiranovic, C. (2014)</w:t>
      </w:r>
      <w:r w:rsidRPr="00E16A60">
        <w:t xml:space="preserve"> ‘Jurors’ Views of Suspended Sentences’, in </w:t>
      </w:r>
      <w:r w:rsidRPr="00E16A60">
        <w:rPr>
          <w:i/>
        </w:rPr>
        <w:t>Australian and New Zealand Journal of Criminology</w:t>
      </w:r>
      <w:r w:rsidRPr="00E16A60">
        <w:t xml:space="preserve"> 47, pp. 141-159.</w:t>
      </w:r>
    </w:p>
    <w:p w14:paraId="2E121512" w14:textId="466026FE" w:rsidR="001D6891" w:rsidRDefault="001D6891" w:rsidP="001D6891">
      <w:pPr>
        <w:pStyle w:val="Para15"/>
        <w:rPr>
          <w:lang w:val="en-US"/>
        </w:rPr>
      </w:pPr>
      <w:r w:rsidRPr="0033492A">
        <w:rPr>
          <w:b/>
          <w:lang w:val="en-US"/>
        </w:rPr>
        <w:t xml:space="preserve">Warner, K. </w:t>
      </w:r>
      <w:r w:rsidR="00F17E6B">
        <w:rPr>
          <w:b/>
          <w:lang w:val="en-US"/>
        </w:rPr>
        <w:t>et al.</w:t>
      </w:r>
      <w:r w:rsidRPr="0033492A">
        <w:rPr>
          <w:b/>
          <w:lang w:val="en-US"/>
        </w:rPr>
        <w:t xml:space="preserve"> (2009)</w:t>
      </w:r>
      <w:r w:rsidRPr="0033492A">
        <w:rPr>
          <w:lang w:val="en-US"/>
        </w:rPr>
        <w:t xml:space="preserve"> ‘</w:t>
      </w:r>
      <w:r w:rsidRPr="0033492A">
        <w:rPr>
          <w:bCs/>
        </w:rPr>
        <w:t>Gauging Public Opinion on Sentencing: Can Asking Jurors Help?</w:t>
      </w:r>
      <w:r>
        <w:rPr>
          <w:bCs/>
        </w:rPr>
        <w:t>’</w:t>
      </w:r>
      <w:r w:rsidRPr="0033492A">
        <w:rPr>
          <w:bCs/>
        </w:rPr>
        <w:t xml:space="preserve"> </w:t>
      </w:r>
      <w:r w:rsidRPr="0033492A">
        <w:rPr>
          <w:i/>
        </w:rPr>
        <w:t>Trends &amp; Issues in Crime and Criminal Justice No 371</w:t>
      </w:r>
      <w:r w:rsidRPr="0033492A">
        <w:rPr>
          <w:lang w:val="en-US"/>
        </w:rPr>
        <w:t>. Canberra: Australian Institute of Criminology.</w:t>
      </w:r>
    </w:p>
    <w:p w14:paraId="5CC4CA2D" w14:textId="21A74FEB" w:rsidR="00331860" w:rsidRDefault="001D6891" w:rsidP="00331860">
      <w:pPr>
        <w:pStyle w:val="Para15"/>
        <w:rPr>
          <w:lang w:val="en-US"/>
        </w:rPr>
      </w:pPr>
      <w:r w:rsidRPr="0033492A">
        <w:rPr>
          <w:b/>
          <w:lang w:val="en-US"/>
        </w:rPr>
        <w:t xml:space="preserve">Warner, K. </w:t>
      </w:r>
      <w:r w:rsidR="00F17E6B">
        <w:rPr>
          <w:b/>
          <w:lang w:val="en-US"/>
        </w:rPr>
        <w:t>et al.</w:t>
      </w:r>
      <w:r w:rsidRPr="0033492A">
        <w:rPr>
          <w:b/>
          <w:lang w:val="en-US"/>
        </w:rPr>
        <w:t xml:space="preserve"> (2011) </w:t>
      </w:r>
      <w:r w:rsidRPr="0033492A">
        <w:rPr>
          <w:lang w:val="en-US"/>
        </w:rPr>
        <w:t>‘</w:t>
      </w:r>
      <w:r w:rsidRPr="0033492A">
        <w:rPr>
          <w:bCs/>
        </w:rPr>
        <w:t xml:space="preserve">Public Judgement on Sentencing: Final Results from the Tasmanian Jury Sentencing Study’ </w:t>
      </w:r>
      <w:r w:rsidRPr="0033492A">
        <w:rPr>
          <w:i/>
        </w:rPr>
        <w:t>Trends &amp; Issues in Crime and Criminal Justice No</w:t>
      </w:r>
      <w:r>
        <w:rPr>
          <w:i/>
        </w:rPr>
        <w:t xml:space="preserve"> 407</w:t>
      </w:r>
      <w:r w:rsidRPr="0033492A">
        <w:rPr>
          <w:lang w:val="en-US"/>
        </w:rPr>
        <w:t>. Canberra: Australian Institute of Criminology.</w:t>
      </w:r>
    </w:p>
    <w:p w14:paraId="4A370073" w14:textId="5013B0D9" w:rsidR="00331860" w:rsidRDefault="00331860" w:rsidP="001D6891">
      <w:pPr>
        <w:pStyle w:val="Para15"/>
        <w:rPr>
          <w:lang w:val="en-US"/>
        </w:rPr>
      </w:pPr>
      <w:r w:rsidRPr="00331860">
        <w:rPr>
          <w:b/>
        </w:rPr>
        <w:lastRenderedPageBreak/>
        <w:t xml:space="preserve">Warner, K. </w:t>
      </w:r>
      <w:r w:rsidR="00F17E6B">
        <w:rPr>
          <w:b/>
        </w:rPr>
        <w:t>et al.</w:t>
      </w:r>
      <w:r w:rsidRPr="00331860">
        <w:rPr>
          <w:b/>
        </w:rPr>
        <w:t xml:space="preserve"> (2014)</w:t>
      </w:r>
      <w:r w:rsidRPr="00331860">
        <w:t xml:space="preserve"> ‘Are Judges Out of Touch?’ in </w:t>
      </w:r>
      <w:r w:rsidRPr="00331860">
        <w:rPr>
          <w:i/>
        </w:rPr>
        <w:t>Current Issues in Criminal Justice</w:t>
      </w:r>
      <w:r w:rsidRPr="00331860">
        <w:t xml:space="preserve"> 25, pp. 729-744.</w:t>
      </w:r>
    </w:p>
    <w:p w14:paraId="3EAD30DB" w14:textId="7D2946AB" w:rsidR="00607DFB" w:rsidRDefault="001D6891" w:rsidP="00607DFB">
      <w:pPr>
        <w:pStyle w:val="Para15"/>
        <w:rPr>
          <w:rStyle w:val="apple-converted-space"/>
          <w:rFonts w:eastAsia="Times New Roman" w:cs="Arial"/>
          <w:color w:val="191919"/>
          <w:shd w:val="clear" w:color="auto" w:fill="FBFBFA"/>
        </w:rPr>
      </w:pPr>
      <w:r w:rsidRPr="0033492A">
        <w:rPr>
          <w:b/>
          <w:lang w:val="en-US"/>
        </w:rPr>
        <w:t xml:space="preserve">Warner, K. </w:t>
      </w:r>
      <w:r w:rsidR="00F17E6B">
        <w:rPr>
          <w:b/>
          <w:lang w:val="en-US"/>
        </w:rPr>
        <w:t>et al.</w:t>
      </w:r>
      <w:r>
        <w:rPr>
          <w:b/>
        </w:rPr>
        <w:t xml:space="preserve"> (2017</w:t>
      </w:r>
      <w:r w:rsidRPr="0033492A">
        <w:rPr>
          <w:b/>
          <w:lang w:val="en-US"/>
        </w:rPr>
        <w:t xml:space="preserve">) </w:t>
      </w:r>
      <w:r w:rsidRPr="00724002">
        <w:t>‘</w:t>
      </w:r>
      <w:r>
        <w:rPr>
          <w:rStyle w:val="list-item-title"/>
          <w:rFonts w:eastAsia="Times New Roman" w:cs="Arial"/>
          <w:bCs/>
          <w:color w:val="000000" w:themeColor="text1"/>
          <w:bdr w:val="none" w:sz="0" w:space="0" w:color="auto" w:frame="1"/>
        </w:rPr>
        <w:t>Measuring Jurors’ Views on Sentencing</w:t>
      </w:r>
      <w:r w:rsidRPr="001D6891">
        <w:rPr>
          <w:rStyle w:val="list-item-title"/>
          <w:rFonts w:eastAsia="Times New Roman" w:cs="Arial"/>
          <w:bCs/>
          <w:color w:val="000000" w:themeColor="text1"/>
          <w:bdr w:val="none" w:sz="0" w:space="0" w:color="auto" w:frame="1"/>
        </w:rPr>
        <w:t>:</w:t>
      </w:r>
      <w:r>
        <w:rPr>
          <w:rStyle w:val="list-item-title"/>
          <w:rFonts w:eastAsia="Times New Roman" w:cs="Arial"/>
          <w:bCs/>
          <w:color w:val="000000" w:themeColor="text1"/>
          <w:bdr w:val="none" w:sz="0" w:space="0" w:color="auto" w:frame="1"/>
        </w:rPr>
        <w:t xml:space="preserve"> Results from the Second Australian Jury Sentencing S</w:t>
      </w:r>
      <w:r w:rsidRPr="001D6891">
        <w:rPr>
          <w:rStyle w:val="list-item-title"/>
          <w:rFonts w:eastAsia="Times New Roman" w:cs="Arial"/>
          <w:bCs/>
          <w:color w:val="000000" w:themeColor="text1"/>
          <w:bdr w:val="none" w:sz="0" w:space="0" w:color="auto" w:frame="1"/>
        </w:rPr>
        <w:t>tudy</w:t>
      </w:r>
      <w:r>
        <w:rPr>
          <w:rStyle w:val="apple-converted-space"/>
          <w:rFonts w:eastAsia="Times New Roman" w:cs="Arial"/>
          <w:color w:val="000000" w:themeColor="text1"/>
          <w:shd w:val="clear" w:color="auto" w:fill="FBFBFA"/>
        </w:rPr>
        <w:t xml:space="preserve">’ in </w:t>
      </w:r>
      <w:r w:rsidRPr="001D6891">
        <w:rPr>
          <w:rFonts w:eastAsia="Times New Roman" w:cs="Arial"/>
          <w:i/>
          <w:color w:val="191919"/>
          <w:bdr w:val="none" w:sz="0" w:space="0" w:color="auto" w:frame="1"/>
        </w:rPr>
        <w:t>Punishment and Society</w:t>
      </w:r>
      <w:r w:rsidRPr="00724002">
        <w:rPr>
          <w:rFonts w:eastAsia="Times New Roman" w:cs="Arial"/>
          <w:color w:val="191919"/>
          <w:bdr w:val="none" w:sz="0" w:space="0" w:color="auto" w:frame="1"/>
        </w:rPr>
        <w:t xml:space="preserve"> 19</w:t>
      </w:r>
      <w:r w:rsidR="00F66703">
        <w:rPr>
          <w:rFonts w:eastAsia="Times New Roman" w:cs="Arial"/>
          <w:color w:val="191919"/>
          <w:bdr w:val="none" w:sz="0" w:space="0" w:color="auto" w:frame="1"/>
        </w:rPr>
        <w:t>, pp.</w:t>
      </w:r>
      <w:r w:rsidRPr="00724002">
        <w:rPr>
          <w:rFonts w:eastAsia="Times New Roman" w:cs="Arial"/>
          <w:color w:val="191919"/>
          <w:bdr w:val="none" w:sz="0" w:space="0" w:color="auto" w:frame="1"/>
        </w:rPr>
        <w:t xml:space="preserve"> 180-202</w:t>
      </w:r>
      <w:r w:rsidRPr="00724002">
        <w:rPr>
          <w:rStyle w:val="apple-converted-space"/>
          <w:rFonts w:eastAsia="Times New Roman" w:cs="Arial"/>
          <w:color w:val="191919"/>
          <w:shd w:val="clear" w:color="auto" w:fill="FBFBFA"/>
        </w:rPr>
        <w:t xml:space="preserve">. </w:t>
      </w:r>
    </w:p>
    <w:p w14:paraId="15012638" w14:textId="06669929" w:rsidR="00607DFB" w:rsidRDefault="00607DFB" w:rsidP="001D6891">
      <w:pPr>
        <w:pStyle w:val="Para15"/>
        <w:rPr>
          <w:rStyle w:val="apple-converted-space"/>
          <w:rFonts w:eastAsia="Times New Roman" w:cs="Arial"/>
          <w:color w:val="191919"/>
          <w:shd w:val="clear" w:color="auto" w:fill="FBFBFA"/>
        </w:rPr>
      </w:pPr>
      <w:r w:rsidRPr="00607DFB">
        <w:rPr>
          <w:rFonts w:eastAsia="Times New Roman"/>
          <w:b/>
          <w:lang w:eastAsia="en-AU"/>
        </w:rPr>
        <w:t>Weatherburn, D. and Ramsey, S. (2016)</w:t>
      </w:r>
      <w:r w:rsidRPr="00152924">
        <w:rPr>
          <w:rFonts w:eastAsia="Times New Roman"/>
          <w:lang w:eastAsia="en-AU"/>
        </w:rPr>
        <w:t xml:space="preserve"> </w:t>
      </w:r>
      <w:r>
        <w:rPr>
          <w:rFonts w:eastAsia="Times New Roman"/>
          <w:lang w:eastAsia="en-AU"/>
        </w:rPr>
        <w:t>‘</w:t>
      </w:r>
      <w:r>
        <w:rPr>
          <w:rFonts w:eastAsia="Times New Roman"/>
          <w:iCs/>
          <w:lang w:eastAsia="en-AU"/>
        </w:rPr>
        <w:t>What’</w:t>
      </w:r>
      <w:r w:rsidRPr="00607DFB">
        <w:rPr>
          <w:rFonts w:eastAsia="Times New Roman"/>
          <w:iCs/>
          <w:lang w:eastAsia="en-AU"/>
        </w:rPr>
        <w:t>s Causing the Growth in Indigenous Imprisonment in NSW?</w:t>
      </w:r>
      <w:r>
        <w:rPr>
          <w:rFonts w:eastAsia="Times New Roman"/>
          <w:iCs/>
          <w:lang w:eastAsia="en-AU"/>
        </w:rPr>
        <w:t>’</w:t>
      </w:r>
      <w:r w:rsidR="00386C44">
        <w:rPr>
          <w:rFonts w:eastAsia="Times New Roman"/>
          <w:iCs/>
          <w:lang w:eastAsia="en-AU"/>
        </w:rPr>
        <w:t xml:space="preserve"> </w:t>
      </w:r>
      <w:r>
        <w:rPr>
          <w:rFonts w:eastAsia="Times New Roman"/>
          <w:i/>
          <w:lang w:eastAsia="en-AU"/>
        </w:rPr>
        <w:t>Issue Paper No 118</w:t>
      </w:r>
      <w:r>
        <w:rPr>
          <w:rFonts w:eastAsia="Times New Roman"/>
          <w:lang w:eastAsia="en-AU"/>
        </w:rPr>
        <w:t>. Sydney:</w:t>
      </w:r>
      <w:r w:rsidRPr="00152924">
        <w:rPr>
          <w:rFonts w:eastAsia="Times New Roman"/>
          <w:lang w:eastAsia="en-AU"/>
        </w:rPr>
        <w:t xml:space="preserve"> NSW Bureau of Crime Statistics and Research.</w:t>
      </w:r>
    </w:p>
    <w:p w14:paraId="223ACEEF" w14:textId="77777777" w:rsidR="00331860" w:rsidRDefault="00F45A84" w:rsidP="00331860">
      <w:pPr>
        <w:pStyle w:val="Para15"/>
      </w:pPr>
      <w:r w:rsidRPr="001D6891">
        <w:rPr>
          <w:b/>
        </w:rPr>
        <w:t>White</w:t>
      </w:r>
      <w:r w:rsidR="001D6891" w:rsidRPr="001D6891">
        <w:rPr>
          <w:b/>
        </w:rPr>
        <w:t>, R.</w:t>
      </w:r>
      <w:r w:rsidRPr="001D6891">
        <w:rPr>
          <w:b/>
        </w:rPr>
        <w:t xml:space="preserve"> and Perrone</w:t>
      </w:r>
      <w:r w:rsidR="001D6891" w:rsidRPr="001D6891">
        <w:rPr>
          <w:b/>
        </w:rPr>
        <w:t>, S.</w:t>
      </w:r>
      <w:r w:rsidRPr="001D6891">
        <w:rPr>
          <w:b/>
        </w:rPr>
        <w:t xml:space="preserve"> </w:t>
      </w:r>
      <w:r w:rsidR="001D6891" w:rsidRPr="001D6891">
        <w:rPr>
          <w:b/>
        </w:rPr>
        <w:t>(</w:t>
      </w:r>
      <w:r w:rsidRPr="001D6891">
        <w:rPr>
          <w:b/>
        </w:rPr>
        <w:t>2015</w:t>
      </w:r>
      <w:r w:rsidR="001D6891" w:rsidRPr="001D6891">
        <w:rPr>
          <w:b/>
        </w:rPr>
        <w:t>)</w:t>
      </w:r>
      <w:r w:rsidR="001D6891">
        <w:t xml:space="preserve"> </w:t>
      </w:r>
      <w:r w:rsidR="001D6891">
        <w:rPr>
          <w:i/>
        </w:rPr>
        <w:t>Crime, Criminality and Criminal Justice</w:t>
      </w:r>
      <w:r w:rsidR="001D6891">
        <w:t>. 2</w:t>
      </w:r>
      <w:r w:rsidR="001D6891" w:rsidRPr="001D6891">
        <w:rPr>
          <w:vertAlign w:val="superscript"/>
        </w:rPr>
        <w:t>nd</w:t>
      </w:r>
      <w:r w:rsidR="001D6891">
        <w:t xml:space="preserve"> ed. Melbourne: Oxford University Press.</w:t>
      </w:r>
      <w:r w:rsidR="00F66703">
        <w:t xml:space="preserve"> </w:t>
      </w:r>
    </w:p>
    <w:p w14:paraId="6DBB2D74" w14:textId="75C9B78E" w:rsidR="00CE4296" w:rsidRDefault="00CE4296" w:rsidP="00331860">
      <w:pPr>
        <w:pStyle w:val="Para15"/>
      </w:pPr>
    </w:p>
    <w:sectPr w:rsidR="00CE4296" w:rsidSect="00E97BC2">
      <w:footerReference w:type="even" r:id="rId12"/>
      <w:footerReference w:type="defaul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C06DCD" w14:textId="77777777" w:rsidR="00D34E9A" w:rsidRDefault="00D34E9A" w:rsidP="001362A0">
      <w:r>
        <w:separator/>
      </w:r>
    </w:p>
  </w:endnote>
  <w:endnote w:type="continuationSeparator" w:id="0">
    <w:p w14:paraId="6292F984" w14:textId="77777777" w:rsidR="00D34E9A" w:rsidRDefault="00D34E9A" w:rsidP="00136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Helvetica">
    <w:panose1 w:val="020B0604020202020204"/>
    <w:charset w:val="00"/>
    <w:family w:val="auto"/>
    <w:pitch w:val="variable"/>
    <w:sig w:usb0="E00002FF" w:usb1="5000785B" w:usb2="00000000" w:usb3="00000000" w:csb0="0000019F" w:csb1="00000000"/>
  </w:font>
  <w:font w:name="OpenSans">
    <w:altName w:val="Cambria"/>
    <w:panose1 w:val="00000000000000000000"/>
    <w:charset w:val="00"/>
    <w:family w:val="auto"/>
    <w:notTrueType/>
    <w:pitch w:val="default"/>
    <w:sig w:usb0="00000003" w:usb1="00000000" w:usb2="00000000" w:usb3="00000000" w:csb0="00000001" w:csb1="00000000"/>
  </w:font>
  <w:font w:name="GillSansStd">
    <w:altName w:val="Cambria"/>
    <w:panose1 w:val="00000000000000000000"/>
    <w:charset w:val="00"/>
    <w:family w:val="swiss"/>
    <w:notTrueType/>
    <w:pitch w:val="default"/>
    <w:sig w:usb0="00000003" w:usb1="00000000" w:usb2="00000000" w:usb3="00000000" w:csb0="00000001" w:csb1="00000000"/>
  </w:font>
  <w:font w:name="Helvetica Neue">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4AD60" w14:textId="77777777" w:rsidR="00D66B5F" w:rsidRDefault="00D66B5F" w:rsidP="0071427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D52B41D" w14:textId="77777777" w:rsidR="00D66B5F" w:rsidRDefault="00D66B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359BA" w14:textId="0D47AC16" w:rsidR="00D66B5F" w:rsidRPr="00434C60" w:rsidRDefault="00D66B5F" w:rsidP="00714270">
    <w:pPr>
      <w:pStyle w:val="Footer"/>
      <w:framePr w:wrap="none" w:vAnchor="text" w:hAnchor="margin" w:xAlign="center" w:y="1"/>
      <w:rPr>
        <w:rStyle w:val="PageNumber"/>
        <w:rFonts w:ascii="Times" w:hAnsi="Times"/>
      </w:rPr>
    </w:pPr>
    <w:r w:rsidRPr="00434C60">
      <w:rPr>
        <w:rStyle w:val="PageNumber"/>
        <w:rFonts w:ascii="Times" w:hAnsi="Times"/>
      </w:rPr>
      <w:fldChar w:fldCharType="begin"/>
    </w:r>
    <w:r w:rsidRPr="00434C60">
      <w:rPr>
        <w:rStyle w:val="PageNumber"/>
        <w:rFonts w:ascii="Times" w:hAnsi="Times"/>
      </w:rPr>
      <w:instrText xml:space="preserve">PAGE  </w:instrText>
    </w:r>
    <w:r w:rsidRPr="00434C60">
      <w:rPr>
        <w:rStyle w:val="PageNumber"/>
        <w:rFonts w:ascii="Times" w:hAnsi="Times"/>
      </w:rPr>
      <w:fldChar w:fldCharType="separate"/>
    </w:r>
    <w:r w:rsidR="00F27828">
      <w:rPr>
        <w:rStyle w:val="PageNumber"/>
        <w:rFonts w:ascii="Times" w:hAnsi="Times"/>
        <w:noProof/>
      </w:rPr>
      <w:t>1</w:t>
    </w:r>
    <w:r w:rsidRPr="00434C60">
      <w:rPr>
        <w:rStyle w:val="PageNumber"/>
        <w:rFonts w:ascii="Times" w:hAnsi="Times"/>
      </w:rPr>
      <w:fldChar w:fldCharType="end"/>
    </w:r>
  </w:p>
  <w:p w14:paraId="47D47AAF" w14:textId="77777777" w:rsidR="00D66B5F" w:rsidRPr="00434C60" w:rsidRDefault="00D66B5F">
    <w:pPr>
      <w:pStyle w:val="Footer"/>
      <w:rPr>
        <w:rFonts w:ascii="Times" w:hAnsi="Time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8C14E3" w14:textId="77777777" w:rsidR="00D34E9A" w:rsidRDefault="00D34E9A" w:rsidP="001362A0">
      <w:r>
        <w:separator/>
      </w:r>
    </w:p>
  </w:footnote>
  <w:footnote w:type="continuationSeparator" w:id="0">
    <w:p w14:paraId="2D4EA1F5" w14:textId="77777777" w:rsidR="00D34E9A" w:rsidRDefault="00D34E9A" w:rsidP="001362A0">
      <w:r>
        <w:continuationSeparator/>
      </w:r>
    </w:p>
  </w:footnote>
  <w:footnote w:id="1">
    <w:p w14:paraId="2C366EF1" w14:textId="1DD77EEF" w:rsidR="008753AF" w:rsidRPr="00D16407" w:rsidRDefault="008753AF" w:rsidP="008753AF">
      <w:pPr>
        <w:rPr>
          <w:rFonts w:ascii="Times" w:hAnsi="Times" w:cs="OpenSans"/>
          <w:sz w:val="20"/>
          <w:szCs w:val="20"/>
        </w:rPr>
      </w:pPr>
      <w:r w:rsidRPr="00D16407">
        <w:rPr>
          <w:rStyle w:val="FootnoteReference"/>
          <w:rFonts w:ascii="Times" w:hAnsi="Times"/>
          <w:sz w:val="20"/>
          <w:szCs w:val="20"/>
        </w:rPr>
        <w:footnoteRef/>
      </w:r>
      <w:r w:rsidRPr="00D16407">
        <w:rPr>
          <w:rFonts w:ascii="Times" w:hAnsi="Times"/>
          <w:sz w:val="20"/>
          <w:szCs w:val="20"/>
        </w:rPr>
        <w:t xml:space="preserve"> This project also yielded a number of publications on methodologies for determining public opinion on sentencing: see Gelb, Mackenzie and Stobbs</w:t>
      </w:r>
      <w:r w:rsidR="00F17E6B">
        <w:rPr>
          <w:rFonts w:ascii="Times" w:hAnsi="Times"/>
          <w:sz w:val="20"/>
          <w:szCs w:val="20"/>
        </w:rPr>
        <w:t>, 201</w:t>
      </w:r>
      <w:r>
        <w:rPr>
          <w:rFonts w:ascii="Times" w:hAnsi="Times"/>
          <w:sz w:val="20"/>
          <w:szCs w:val="20"/>
        </w:rPr>
        <w:t xml:space="preserve">5; </w:t>
      </w:r>
      <w:r w:rsidRPr="00D16407">
        <w:rPr>
          <w:rFonts w:ascii="Times" w:hAnsi="Times"/>
          <w:sz w:val="20"/>
          <w:szCs w:val="20"/>
        </w:rPr>
        <w:t xml:space="preserve">Indermaur </w:t>
      </w:r>
      <w:r w:rsidR="00F17E6B">
        <w:rPr>
          <w:rFonts w:ascii="Times" w:hAnsi="Times"/>
          <w:sz w:val="20"/>
          <w:szCs w:val="20"/>
        </w:rPr>
        <w:t>et al., 201</w:t>
      </w:r>
      <w:r w:rsidR="00EA7624">
        <w:rPr>
          <w:rFonts w:ascii="Times" w:hAnsi="Times"/>
          <w:sz w:val="20"/>
          <w:szCs w:val="20"/>
        </w:rPr>
        <w:t xml:space="preserve">2; Mackenzie </w:t>
      </w:r>
      <w:r w:rsidR="00F17E6B">
        <w:rPr>
          <w:rFonts w:ascii="Times" w:hAnsi="Times"/>
          <w:sz w:val="20"/>
          <w:szCs w:val="20"/>
        </w:rPr>
        <w:t>et al., 201</w:t>
      </w:r>
      <w:r w:rsidR="00EA7624">
        <w:rPr>
          <w:rFonts w:ascii="Times" w:hAnsi="Times"/>
          <w:sz w:val="20"/>
          <w:szCs w:val="20"/>
        </w:rPr>
        <w:t>4</w:t>
      </w:r>
      <w:r w:rsidRPr="00D16407">
        <w:rPr>
          <w:rFonts w:ascii="Times" w:hAnsi="Times"/>
          <w:sz w:val="20"/>
          <w:szCs w:val="20"/>
        </w:rPr>
        <w:t xml:space="preserve">.  </w:t>
      </w:r>
    </w:p>
  </w:footnote>
  <w:footnote w:id="2">
    <w:p w14:paraId="3CE1EFE4" w14:textId="052AE127" w:rsidR="003945D3" w:rsidRPr="003945D3" w:rsidRDefault="003945D3">
      <w:pPr>
        <w:pStyle w:val="FootnoteText"/>
        <w:rPr>
          <w:rFonts w:ascii="Times" w:hAnsi="Times"/>
          <w:sz w:val="20"/>
          <w:szCs w:val="20"/>
        </w:rPr>
      </w:pPr>
      <w:r w:rsidRPr="003945D3">
        <w:rPr>
          <w:rStyle w:val="FootnoteReference"/>
          <w:rFonts w:ascii="Times" w:hAnsi="Times"/>
          <w:sz w:val="20"/>
          <w:szCs w:val="20"/>
        </w:rPr>
        <w:footnoteRef/>
      </w:r>
      <w:r w:rsidRPr="003945D3">
        <w:rPr>
          <w:rFonts w:ascii="Times" w:hAnsi="Times"/>
          <w:sz w:val="20"/>
          <w:szCs w:val="20"/>
        </w:rPr>
        <w:t xml:space="preserve"> </w:t>
      </w:r>
      <w:r w:rsidRPr="003945D3">
        <w:rPr>
          <w:rFonts w:ascii="Times" w:eastAsia="Times New Roman" w:hAnsi="Times" w:cs="Times New Roman"/>
          <w:color w:val="222222"/>
          <w:sz w:val="20"/>
          <w:szCs w:val="20"/>
          <w:shd w:val="clear" w:color="auto" w:fill="FFFFFF"/>
          <w:lang w:val="en-US"/>
        </w:rPr>
        <w:t xml:space="preserve">Subsequent research based on the Tasmanian </w:t>
      </w:r>
      <w:r w:rsidRPr="003945D3">
        <w:rPr>
          <w:rFonts w:ascii="Times" w:eastAsia="Times New Roman" w:hAnsi="Times"/>
          <w:color w:val="222222"/>
          <w:sz w:val="20"/>
          <w:szCs w:val="20"/>
          <w:shd w:val="clear" w:color="auto" w:fill="FFFFFF"/>
        </w:rPr>
        <w:t xml:space="preserve">Jury Sentencing Project </w:t>
      </w:r>
      <w:r w:rsidRPr="003945D3">
        <w:rPr>
          <w:rFonts w:ascii="Times" w:eastAsia="Times New Roman" w:hAnsi="Times" w:cs="Times New Roman"/>
          <w:color w:val="222222"/>
          <w:sz w:val="20"/>
          <w:szCs w:val="20"/>
          <w:shd w:val="clear" w:color="auto" w:fill="FFFFFF"/>
          <w:lang w:val="en-US"/>
        </w:rPr>
        <w:t xml:space="preserve">has considered whether jurors considered judges to be out of touch (Warner </w:t>
      </w:r>
      <w:r w:rsidR="00F17E6B">
        <w:rPr>
          <w:rFonts w:ascii="Times" w:eastAsia="Times New Roman" w:hAnsi="Times" w:cs="Times New Roman"/>
          <w:color w:val="222222"/>
          <w:sz w:val="20"/>
          <w:szCs w:val="20"/>
          <w:shd w:val="clear" w:color="auto" w:fill="FFFFFF"/>
          <w:lang w:val="en-US"/>
        </w:rPr>
        <w:t>et al., 201</w:t>
      </w:r>
      <w:r w:rsidRPr="003945D3">
        <w:rPr>
          <w:rFonts w:ascii="Times" w:eastAsia="Times New Roman" w:hAnsi="Times" w:cs="Times New Roman"/>
          <w:color w:val="222222"/>
          <w:sz w:val="20"/>
          <w:szCs w:val="20"/>
          <w:shd w:val="clear" w:color="auto" w:fill="FFFFFF"/>
          <w:lang w:val="en-US"/>
        </w:rPr>
        <w:t>4), attitudes to suspended sentences (Warner and Spiranovic</w:t>
      </w:r>
      <w:r w:rsidR="00F17E6B">
        <w:rPr>
          <w:rFonts w:ascii="Times" w:eastAsia="Times New Roman" w:hAnsi="Times" w:cs="Times New Roman"/>
          <w:color w:val="222222"/>
          <w:sz w:val="20"/>
          <w:szCs w:val="20"/>
          <w:shd w:val="clear" w:color="auto" w:fill="FFFFFF"/>
          <w:lang w:val="en-US"/>
        </w:rPr>
        <w:t>, 201</w:t>
      </w:r>
      <w:r w:rsidRPr="003945D3">
        <w:rPr>
          <w:rFonts w:ascii="Times" w:eastAsia="Times New Roman" w:hAnsi="Times" w:cs="Times New Roman"/>
          <w:color w:val="222222"/>
          <w:sz w:val="20"/>
          <w:szCs w:val="20"/>
          <w:shd w:val="clear" w:color="auto" w:fill="FFFFFF"/>
          <w:lang w:val="en-US"/>
        </w:rPr>
        <w:t>4), and the implications of conducting research with jurors (Davis, Warner and Bradfield</w:t>
      </w:r>
      <w:r w:rsidR="00F17E6B">
        <w:rPr>
          <w:rFonts w:ascii="Times" w:eastAsia="Times New Roman" w:hAnsi="Times" w:cs="Times New Roman"/>
          <w:color w:val="222222"/>
          <w:sz w:val="20"/>
          <w:szCs w:val="20"/>
          <w:shd w:val="clear" w:color="auto" w:fill="FFFFFF"/>
          <w:lang w:val="en-US"/>
        </w:rPr>
        <w:t>, 201</w:t>
      </w:r>
      <w:r w:rsidRPr="003945D3">
        <w:rPr>
          <w:rFonts w:ascii="Times" w:eastAsia="Times New Roman" w:hAnsi="Times" w:cs="Times New Roman"/>
          <w:color w:val="222222"/>
          <w:sz w:val="20"/>
          <w:szCs w:val="20"/>
          <w:shd w:val="clear" w:color="auto" w:fill="FFFFFF"/>
          <w:lang w:val="en-US"/>
        </w:rPr>
        <w:t>1; Warner and Davis</w:t>
      </w:r>
      <w:r w:rsidR="00F17E6B">
        <w:rPr>
          <w:rFonts w:ascii="Times" w:eastAsia="Times New Roman" w:hAnsi="Times" w:cs="Times New Roman"/>
          <w:color w:val="222222"/>
          <w:sz w:val="20"/>
          <w:szCs w:val="20"/>
          <w:shd w:val="clear" w:color="auto" w:fill="FFFFFF"/>
          <w:lang w:val="en-US"/>
        </w:rPr>
        <w:t>, 201</w:t>
      </w:r>
      <w:r w:rsidR="00752BD7">
        <w:rPr>
          <w:rFonts w:ascii="Times" w:eastAsia="Times New Roman" w:hAnsi="Times" w:cs="Times New Roman"/>
          <w:color w:val="222222"/>
          <w:sz w:val="20"/>
          <w:szCs w:val="20"/>
          <w:shd w:val="clear" w:color="auto" w:fill="FFFFFF"/>
          <w:lang w:val="en-US"/>
        </w:rPr>
        <w:t>2,</w:t>
      </w:r>
      <w:r w:rsidR="00F17E6B">
        <w:rPr>
          <w:rFonts w:ascii="Times" w:eastAsia="Times New Roman" w:hAnsi="Times" w:cs="Times New Roman"/>
          <w:color w:val="222222"/>
          <w:sz w:val="20"/>
          <w:szCs w:val="20"/>
          <w:shd w:val="clear" w:color="auto" w:fill="FFFFFF"/>
          <w:lang w:val="en-US"/>
        </w:rPr>
        <w:t xml:space="preserve"> 201</w:t>
      </w:r>
      <w:r w:rsidRPr="003945D3">
        <w:rPr>
          <w:rFonts w:ascii="Times" w:eastAsia="Times New Roman" w:hAnsi="Times" w:cs="Times New Roman"/>
          <w:color w:val="222222"/>
          <w:sz w:val="20"/>
          <w:szCs w:val="20"/>
          <w:shd w:val="clear" w:color="auto" w:fill="FFFFFF"/>
          <w:lang w:val="en-US"/>
        </w:rPr>
        <w:t>3).</w:t>
      </w:r>
    </w:p>
  </w:footnote>
  <w:footnote w:id="3">
    <w:p w14:paraId="46D64579" w14:textId="3F301C0D" w:rsidR="00D66B5F" w:rsidRPr="00D16407" w:rsidRDefault="00D66B5F" w:rsidP="00D16407">
      <w:pPr>
        <w:rPr>
          <w:rFonts w:ascii="Times" w:hAnsi="Times"/>
          <w:sz w:val="20"/>
          <w:szCs w:val="20"/>
        </w:rPr>
      </w:pPr>
      <w:r w:rsidRPr="00D16407">
        <w:rPr>
          <w:rStyle w:val="FootnoteReference"/>
          <w:rFonts w:ascii="Times" w:hAnsi="Times"/>
          <w:sz w:val="20"/>
          <w:szCs w:val="20"/>
        </w:rPr>
        <w:footnoteRef/>
      </w:r>
      <w:r w:rsidRPr="00D16407">
        <w:rPr>
          <w:rFonts w:ascii="Times" w:hAnsi="Times"/>
          <w:sz w:val="20"/>
          <w:szCs w:val="20"/>
        </w:rPr>
        <w:t xml:space="preserve"> </w:t>
      </w:r>
      <w:r w:rsidR="001C2884">
        <w:rPr>
          <w:rStyle w:val="apple-converted-space"/>
          <w:rFonts w:ascii="Times" w:eastAsia="Times New Roman" w:hAnsi="Times" w:cs="Arial"/>
          <w:color w:val="191919"/>
          <w:sz w:val="20"/>
          <w:szCs w:val="20"/>
        </w:rPr>
        <w:t>XX</w:t>
      </w:r>
    </w:p>
  </w:footnote>
  <w:footnote w:id="4">
    <w:p w14:paraId="3889F42A" w14:textId="6C49CED1" w:rsidR="00951CF4" w:rsidRPr="00B52CAC" w:rsidRDefault="00951CF4" w:rsidP="00951CF4">
      <w:pPr>
        <w:spacing w:line="276" w:lineRule="auto"/>
        <w:rPr>
          <w:rFonts w:ascii="Times" w:hAnsi="Times" w:cs="Arial"/>
          <w:color w:val="131313"/>
          <w:sz w:val="20"/>
          <w:szCs w:val="20"/>
        </w:rPr>
      </w:pPr>
      <w:r w:rsidRPr="00B52CAC">
        <w:rPr>
          <w:rStyle w:val="FootnoteReference"/>
          <w:rFonts w:ascii="Times" w:hAnsi="Times"/>
          <w:sz w:val="20"/>
          <w:szCs w:val="20"/>
        </w:rPr>
        <w:footnoteRef/>
      </w:r>
      <w:r w:rsidRPr="00B52CAC">
        <w:rPr>
          <w:rFonts w:ascii="Times" w:hAnsi="Times"/>
          <w:sz w:val="20"/>
          <w:szCs w:val="20"/>
        </w:rPr>
        <w:t xml:space="preserve"> </w:t>
      </w:r>
      <w:r w:rsidR="001C2884">
        <w:rPr>
          <w:rFonts w:ascii="Times" w:hAnsi="Times" w:cs="Arial"/>
          <w:color w:val="131313"/>
          <w:sz w:val="20"/>
          <w:szCs w:val="20"/>
        </w:rPr>
        <w:t>XX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7745C"/>
    <w:multiLevelType w:val="hybridMultilevel"/>
    <w:tmpl w:val="79460944"/>
    <w:lvl w:ilvl="0" w:tplc="C582C962">
      <w:start w:val="1"/>
      <w:numFmt w:val="bullet"/>
      <w:lvlText w:val="•"/>
      <w:lvlJc w:val="left"/>
      <w:pPr>
        <w:tabs>
          <w:tab w:val="num" w:pos="720"/>
        </w:tabs>
        <w:ind w:left="720" w:hanging="360"/>
      </w:pPr>
      <w:rPr>
        <w:rFonts w:ascii="Arial" w:hAnsi="Arial" w:hint="default"/>
      </w:rPr>
    </w:lvl>
    <w:lvl w:ilvl="1" w:tplc="6B343B5E">
      <w:start w:val="1"/>
      <w:numFmt w:val="bullet"/>
      <w:lvlText w:val="•"/>
      <w:lvlJc w:val="left"/>
      <w:pPr>
        <w:tabs>
          <w:tab w:val="num" w:pos="1440"/>
        </w:tabs>
        <w:ind w:left="1440" w:hanging="360"/>
      </w:pPr>
      <w:rPr>
        <w:rFonts w:ascii="Arial" w:hAnsi="Arial" w:hint="default"/>
      </w:rPr>
    </w:lvl>
    <w:lvl w:ilvl="2" w:tplc="F5A68EEA" w:tentative="1">
      <w:start w:val="1"/>
      <w:numFmt w:val="bullet"/>
      <w:lvlText w:val="•"/>
      <w:lvlJc w:val="left"/>
      <w:pPr>
        <w:tabs>
          <w:tab w:val="num" w:pos="2160"/>
        </w:tabs>
        <w:ind w:left="2160" w:hanging="360"/>
      </w:pPr>
      <w:rPr>
        <w:rFonts w:ascii="Arial" w:hAnsi="Arial" w:hint="default"/>
      </w:rPr>
    </w:lvl>
    <w:lvl w:ilvl="3" w:tplc="3BCEDEA6" w:tentative="1">
      <w:start w:val="1"/>
      <w:numFmt w:val="bullet"/>
      <w:lvlText w:val="•"/>
      <w:lvlJc w:val="left"/>
      <w:pPr>
        <w:tabs>
          <w:tab w:val="num" w:pos="2880"/>
        </w:tabs>
        <w:ind w:left="2880" w:hanging="360"/>
      </w:pPr>
      <w:rPr>
        <w:rFonts w:ascii="Arial" w:hAnsi="Arial" w:hint="default"/>
      </w:rPr>
    </w:lvl>
    <w:lvl w:ilvl="4" w:tplc="3202EB04" w:tentative="1">
      <w:start w:val="1"/>
      <w:numFmt w:val="bullet"/>
      <w:lvlText w:val="•"/>
      <w:lvlJc w:val="left"/>
      <w:pPr>
        <w:tabs>
          <w:tab w:val="num" w:pos="3600"/>
        </w:tabs>
        <w:ind w:left="3600" w:hanging="360"/>
      </w:pPr>
      <w:rPr>
        <w:rFonts w:ascii="Arial" w:hAnsi="Arial" w:hint="default"/>
      </w:rPr>
    </w:lvl>
    <w:lvl w:ilvl="5" w:tplc="92CAF396" w:tentative="1">
      <w:start w:val="1"/>
      <w:numFmt w:val="bullet"/>
      <w:lvlText w:val="•"/>
      <w:lvlJc w:val="left"/>
      <w:pPr>
        <w:tabs>
          <w:tab w:val="num" w:pos="4320"/>
        </w:tabs>
        <w:ind w:left="4320" w:hanging="360"/>
      </w:pPr>
      <w:rPr>
        <w:rFonts w:ascii="Arial" w:hAnsi="Arial" w:hint="default"/>
      </w:rPr>
    </w:lvl>
    <w:lvl w:ilvl="6" w:tplc="56DA4708" w:tentative="1">
      <w:start w:val="1"/>
      <w:numFmt w:val="bullet"/>
      <w:lvlText w:val="•"/>
      <w:lvlJc w:val="left"/>
      <w:pPr>
        <w:tabs>
          <w:tab w:val="num" w:pos="5040"/>
        </w:tabs>
        <w:ind w:left="5040" w:hanging="360"/>
      </w:pPr>
      <w:rPr>
        <w:rFonts w:ascii="Arial" w:hAnsi="Arial" w:hint="default"/>
      </w:rPr>
    </w:lvl>
    <w:lvl w:ilvl="7" w:tplc="7020F2CC" w:tentative="1">
      <w:start w:val="1"/>
      <w:numFmt w:val="bullet"/>
      <w:lvlText w:val="•"/>
      <w:lvlJc w:val="left"/>
      <w:pPr>
        <w:tabs>
          <w:tab w:val="num" w:pos="5760"/>
        </w:tabs>
        <w:ind w:left="5760" w:hanging="360"/>
      </w:pPr>
      <w:rPr>
        <w:rFonts w:ascii="Arial" w:hAnsi="Arial" w:hint="default"/>
      </w:rPr>
    </w:lvl>
    <w:lvl w:ilvl="8" w:tplc="1158B25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06037D"/>
    <w:multiLevelType w:val="multilevel"/>
    <w:tmpl w:val="FBEE8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D056F7"/>
    <w:multiLevelType w:val="multilevel"/>
    <w:tmpl w:val="F07C6F4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8A3E43"/>
    <w:multiLevelType w:val="hybridMultilevel"/>
    <w:tmpl w:val="65E0C1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1E07A87"/>
    <w:multiLevelType w:val="hybridMultilevel"/>
    <w:tmpl w:val="B704A7C8"/>
    <w:lvl w:ilvl="0" w:tplc="53CC40F0">
      <w:start w:val="1"/>
      <w:numFmt w:val="bullet"/>
      <w:lvlText w:val="•"/>
      <w:lvlJc w:val="left"/>
      <w:pPr>
        <w:tabs>
          <w:tab w:val="num" w:pos="720"/>
        </w:tabs>
        <w:ind w:left="720" w:hanging="360"/>
      </w:pPr>
      <w:rPr>
        <w:rFonts w:ascii="Arial" w:hAnsi="Arial" w:hint="default"/>
      </w:rPr>
    </w:lvl>
    <w:lvl w:ilvl="1" w:tplc="C3B468D4" w:tentative="1">
      <w:start w:val="1"/>
      <w:numFmt w:val="bullet"/>
      <w:lvlText w:val="•"/>
      <w:lvlJc w:val="left"/>
      <w:pPr>
        <w:tabs>
          <w:tab w:val="num" w:pos="1440"/>
        </w:tabs>
        <w:ind w:left="1440" w:hanging="360"/>
      </w:pPr>
      <w:rPr>
        <w:rFonts w:ascii="Arial" w:hAnsi="Arial" w:hint="default"/>
      </w:rPr>
    </w:lvl>
    <w:lvl w:ilvl="2" w:tplc="1304ED34" w:tentative="1">
      <w:start w:val="1"/>
      <w:numFmt w:val="bullet"/>
      <w:lvlText w:val="•"/>
      <w:lvlJc w:val="left"/>
      <w:pPr>
        <w:tabs>
          <w:tab w:val="num" w:pos="2160"/>
        </w:tabs>
        <w:ind w:left="2160" w:hanging="360"/>
      </w:pPr>
      <w:rPr>
        <w:rFonts w:ascii="Arial" w:hAnsi="Arial" w:hint="default"/>
      </w:rPr>
    </w:lvl>
    <w:lvl w:ilvl="3" w:tplc="7A382E7E" w:tentative="1">
      <w:start w:val="1"/>
      <w:numFmt w:val="bullet"/>
      <w:lvlText w:val="•"/>
      <w:lvlJc w:val="left"/>
      <w:pPr>
        <w:tabs>
          <w:tab w:val="num" w:pos="2880"/>
        </w:tabs>
        <w:ind w:left="2880" w:hanging="360"/>
      </w:pPr>
      <w:rPr>
        <w:rFonts w:ascii="Arial" w:hAnsi="Arial" w:hint="default"/>
      </w:rPr>
    </w:lvl>
    <w:lvl w:ilvl="4" w:tplc="EDEAEC50" w:tentative="1">
      <w:start w:val="1"/>
      <w:numFmt w:val="bullet"/>
      <w:lvlText w:val="•"/>
      <w:lvlJc w:val="left"/>
      <w:pPr>
        <w:tabs>
          <w:tab w:val="num" w:pos="3600"/>
        </w:tabs>
        <w:ind w:left="3600" w:hanging="360"/>
      </w:pPr>
      <w:rPr>
        <w:rFonts w:ascii="Arial" w:hAnsi="Arial" w:hint="default"/>
      </w:rPr>
    </w:lvl>
    <w:lvl w:ilvl="5" w:tplc="51220420" w:tentative="1">
      <w:start w:val="1"/>
      <w:numFmt w:val="bullet"/>
      <w:lvlText w:val="•"/>
      <w:lvlJc w:val="left"/>
      <w:pPr>
        <w:tabs>
          <w:tab w:val="num" w:pos="4320"/>
        </w:tabs>
        <w:ind w:left="4320" w:hanging="360"/>
      </w:pPr>
      <w:rPr>
        <w:rFonts w:ascii="Arial" w:hAnsi="Arial" w:hint="default"/>
      </w:rPr>
    </w:lvl>
    <w:lvl w:ilvl="6" w:tplc="AF0864BE" w:tentative="1">
      <w:start w:val="1"/>
      <w:numFmt w:val="bullet"/>
      <w:lvlText w:val="•"/>
      <w:lvlJc w:val="left"/>
      <w:pPr>
        <w:tabs>
          <w:tab w:val="num" w:pos="5040"/>
        </w:tabs>
        <w:ind w:left="5040" w:hanging="360"/>
      </w:pPr>
      <w:rPr>
        <w:rFonts w:ascii="Arial" w:hAnsi="Arial" w:hint="default"/>
      </w:rPr>
    </w:lvl>
    <w:lvl w:ilvl="7" w:tplc="4C7A35FE" w:tentative="1">
      <w:start w:val="1"/>
      <w:numFmt w:val="bullet"/>
      <w:lvlText w:val="•"/>
      <w:lvlJc w:val="left"/>
      <w:pPr>
        <w:tabs>
          <w:tab w:val="num" w:pos="5760"/>
        </w:tabs>
        <w:ind w:left="5760" w:hanging="360"/>
      </w:pPr>
      <w:rPr>
        <w:rFonts w:ascii="Arial" w:hAnsi="Arial" w:hint="default"/>
      </w:rPr>
    </w:lvl>
    <w:lvl w:ilvl="8" w:tplc="CA50DD9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6C94126"/>
    <w:multiLevelType w:val="hybridMultilevel"/>
    <w:tmpl w:val="1F38F6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EF00C38"/>
    <w:multiLevelType w:val="hybridMultilevel"/>
    <w:tmpl w:val="C74E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6E07763"/>
    <w:multiLevelType w:val="hybridMultilevel"/>
    <w:tmpl w:val="BB961838"/>
    <w:lvl w:ilvl="0" w:tplc="ABCC599A">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15:restartNumberingAfterBreak="0">
    <w:nsid w:val="38B067BE"/>
    <w:multiLevelType w:val="hybridMultilevel"/>
    <w:tmpl w:val="8300F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3C77C6"/>
    <w:multiLevelType w:val="hybridMultilevel"/>
    <w:tmpl w:val="4EA4820E"/>
    <w:lvl w:ilvl="0" w:tplc="0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7F6A63"/>
    <w:multiLevelType w:val="hybridMultilevel"/>
    <w:tmpl w:val="69A459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97613F6"/>
    <w:multiLevelType w:val="hybridMultilevel"/>
    <w:tmpl w:val="2178505C"/>
    <w:lvl w:ilvl="0" w:tplc="323696C2">
      <w:start w:val="113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9"/>
  </w:num>
  <w:num w:numId="4">
    <w:abstractNumId w:val="11"/>
  </w:num>
  <w:num w:numId="5">
    <w:abstractNumId w:val="4"/>
  </w:num>
  <w:num w:numId="6">
    <w:abstractNumId w:val="6"/>
  </w:num>
  <w:num w:numId="7">
    <w:abstractNumId w:val="10"/>
  </w:num>
  <w:num w:numId="8">
    <w:abstractNumId w:val="8"/>
  </w:num>
  <w:num w:numId="9">
    <w:abstractNumId w:val="5"/>
  </w:num>
  <w:num w:numId="10">
    <w:abstractNumId w:val="1"/>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F1E"/>
    <w:rsid w:val="0000435F"/>
    <w:rsid w:val="0003324F"/>
    <w:rsid w:val="00037A0E"/>
    <w:rsid w:val="00037B0B"/>
    <w:rsid w:val="000550D1"/>
    <w:rsid w:val="00067F97"/>
    <w:rsid w:val="00085CFC"/>
    <w:rsid w:val="000A2267"/>
    <w:rsid w:val="000B0365"/>
    <w:rsid w:val="000B07B1"/>
    <w:rsid w:val="000B2F9C"/>
    <w:rsid w:val="000C2667"/>
    <w:rsid w:val="000E2E70"/>
    <w:rsid w:val="000E62F8"/>
    <w:rsid w:val="000E70AD"/>
    <w:rsid w:val="000F33B8"/>
    <w:rsid w:val="001169EF"/>
    <w:rsid w:val="001362A0"/>
    <w:rsid w:val="001513BF"/>
    <w:rsid w:val="00153E18"/>
    <w:rsid w:val="0016324D"/>
    <w:rsid w:val="00166C12"/>
    <w:rsid w:val="00191402"/>
    <w:rsid w:val="00191535"/>
    <w:rsid w:val="00191CE6"/>
    <w:rsid w:val="00197529"/>
    <w:rsid w:val="001A6932"/>
    <w:rsid w:val="001B60BA"/>
    <w:rsid w:val="001C2884"/>
    <w:rsid w:val="001D0EBA"/>
    <w:rsid w:val="001D6891"/>
    <w:rsid w:val="001E2B71"/>
    <w:rsid w:val="001F10E7"/>
    <w:rsid w:val="00201CE0"/>
    <w:rsid w:val="00211C67"/>
    <w:rsid w:val="00216A8C"/>
    <w:rsid w:val="00230E6D"/>
    <w:rsid w:val="002320E9"/>
    <w:rsid w:val="002354AF"/>
    <w:rsid w:val="00256F74"/>
    <w:rsid w:val="0028065D"/>
    <w:rsid w:val="002826A7"/>
    <w:rsid w:val="00285890"/>
    <w:rsid w:val="002930F2"/>
    <w:rsid w:val="002A7020"/>
    <w:rsid w:val="002C474D"/>
    <w:rsid w:val="002D2FC5"/>
    <w:rsid w:val="002D56DB"/>
    <w:rsid w:val="002E4539"/>
    <w:rsid w:val="002E4EB9"/>
    <w:rsid w:val="0031259A"/>
    <w:rsid w:val="00312768"/>
    <w:rsid w:val="00315853"/>
    <w:rsid w:val="003231CE"/>
    <w:rsid w:val="00331860"/>
    <w:rsid w:val="0033492A"/>
    <w:rsid w:val="00354C6D"/>
    <w:rsid w:val="00363185"/>
    <w:rsid w:val="003631F7"/>
    <w:rsid w:val="0036346C"/>
    <w:rsid w:val="00364B2F"/>
    <w:rsid w:val="003725E8"/>
    <w:rsid w:val="00374784"/>
    <w:rsid w:val="00377D55"/>
    <w:rsid w:val="003815B8"/>
    <w:rsid w:val="00385244"/>
    <w:rsid w:val="00386659"/>
    <w:rsid w:val="00386C44"/>
    <w:rsid w:val="003945D3"/>
    <w:rsid w:val="003A0AF5"/>
    <w:rsid w:val="003A132E"/>
    <w:rsid w:val="003A4CFD"/>
    <w:rsid w:val="003A67B3"/>
    <w:rsid w:val="003E5B5C"/>
    <w:rsid w:val="003F54BB"/>
    <w:rsid w:val="003F66BE"/>
    <w:rsid w:val="004222E6"/>
    <w:rsid w:val="004309BC"/>
    <w:rsid w:val="00434C60"/>
    <w:rsid w:val="00441F8D"/>
    <w:rsid w:val="00455FE1"/>
    <w:rsid w:val="0047139E"/>
    <w:rsid w:val="0047169F"/>
    <w:rsid w:val="0047195F"/>
    <w:rsid w:val="004741FD"/>
    <w:rsid w:val="00486CB9"/>
    <w:rsid w:val="00494B5B"/>
    <w:rsid w:val="00495417"/>
    <w:rsid w:val="004B5A19"/>
    <w:rsid w:val="004D5BF2"/>
    <w:rsid w:val="004E75AD"/>
    <w:rsid w:val="00512CC0"/>
    <w:rsid w:val="00524882"/>
    <w:rsid w:val="00524925"/>
    <w:rsid w:val="005509D7"/>
    <w:rsid w:val="00580250"/>
    <w:rsid w:val="005808FB"/>
    <w:rsid w:val="00581F33"/>
    <w:rsid w:val="0058522F"/>
    <w:rsid w:val="00593A3E"/>
    <w:rsid w:val="005A6134"/>
    <w:rsid w:val="005A7060"/>
    <w:rsid w:val="005D3B69"/>
    <w:rsid w:val="005F00BF"/>
    <w:rsid w:val="005F169B"/>
    <w:rsid w:val="00607DFB"/>
    <w:rsid w:val="00621453"/>
    <w:rsid w:val="00621472"/>
    <w:rsid w:val="006244EB"/>
    <w:rsid w:val="006325D0"/>
    <w:rsid w:val="00647F56"/>
    <w:rsid w:val="00650307"/>
    <w:rsid w:val="00656B22"/>
    <w:rsid w:val="0066103B"/>
    <w:rsid w:val="00663A85"/>
    <w:rsid w:val="006856C2"/>
    <w:rsid w:val="0068650D"/>
    <w:rsid w:val="0069498F"/>
    <w:rsid w:val="006A431B"/>
    <w:rsid w:val="006A4C6C"/>
    <w:rsid w:val="006B6550"/>
    <w:rsid w:val="006B7447"/>
    <w:rsid w:val="006C1C09"/>
    <w:rsid w:val="006C61B7"/>
    <w:rsid w:val="006C7317"/>
    <w:rsid w:val="006D5F02"/>
    <w:rsid w:val="006E1D44"/>
    <w:rsid w:val="006E274E"/>
    <w:rsid w:val="006E79D3"/>
    <w:rsid w:val="007029B2"/>
    <w:rsid w:val="00714270"/>
    <w:rsid w:val="00724002"/>
    <w:rsid w:val="00727D3A"/>
    <w:rsid w:val="00742FE5"/>
    <w:rsid w:val="007503E6"/>
    <w:rsid w:val="00752BD7"/>
    <w:rsid w:val="00753BAB"/>
    <w:rsid w:val="00756E6F"/>
    <w:rsid w:val="00765830"/>
    <w:rsid w:val="00791B07"/>
    <w:rsid w:val="0079474A"/>
    <w:rsid w:val="007A1F31"/>
    <w:rsid w:val="007A46E3"/>
    <w:rsid w:val="007A5A1E"/>
    <w:rsid w:val="007B0F1E"/>
    <w:rsid w:val="007B6167"/>
    <w:rsid w:val="007B77D7"/>
    <w:rsid w:val="007C0219"/>
    <w:rsid w:val="007C306D"/>
    <w:rsid w:val="007E25EA"/>
    <w:rsid w:val="007E7CAD"/>
    <w:rsid w:val="008022CA"/>
    <w:rsid w:val="00821DB5"/>
    <w:rsid w:val="00823D47"/>
    <w:rsid w:val="008403A7"/>
    <w:rsid w:val="0084338A"/>
    <w:rsid w:val="008458CC"/>
    <w:rsid w:val="00852585"/>
    <w:rsid w:val="008555A0"/>
    <w:rsid w:val="00872F6D"/>
    <w:rsid w:val="00874E57"/>
    <w:rsid w:val="008753AF"/>
    <w:rsid w:val="0088225D"/>
    <w:rsid w:val="00895666"/>
    <w:rsid w:val="008A2C9F"/>
    <w:rsid w:val="008B60EB"/>
    <w:rsid w:val="008B7158"/>
    <w:rsid w:val="008F08F8"/>
    <w:rsid w:val="008F0DAA"/>
    <w:rsid w:val="008F6886"/>
    <w:rsid w:val="00914B99"/>
    <w:rsid w:val="00914F0B"/>
    <w:rsid w:val="00916404"/>
    <w:rsid w:val="009167F6"/>
    <w:rsid w:val="00916C62"/>
    <w:rsid w:val="0094300E"/>
    <w:rsid w:val="0094673F"/>
    <w:rsid w:val="00951CF4"/>
    <w:rsid w:val="00952F57"/>
    <w:rsid w:val="0095443A"/>
    <w:rsid w:val="00960ACB"/>
    <w:rsid w:val="00962385"/>
    <w:rsid w:val="00972D45"/>
    <w:rsid w:val="009734FE"/>
    <w:rsid w:val="00993330"/>
    <w:rsid w:val="009B080A"/>
    <w:rsid w:val="009C2563"/>
    <w:rsid w:val="009C415D"/>
    <w:rsid w:val="009D0ACA"/>
    <w:rsid w:val="009F3D80"/>
    <w:rsid w:val="00A0311D"/>
    <w:rsid w:val="00A06725"/>
    <w:rsid w:val="00A120D2"/>
    <w:rsid w:val="00A24F5E"/>
    <w:rsid w:val="00A31A7C"/>
    <w:rsid w:val="00A36C23"/>
    <w:rsid w:val="00A3742F"/>
    <w:rsid w:val="00A5546D"/>
    <w:rsid w:val="00A600A4"/>
    <w:rsid w:val="00A6011C"/>
    <w:rsid w:val="00A612FC"/>
    <w:rsid w:val="00A6501B"/>
    <w:rsid w:val="00A66EB9"/>
    <w:rsid w:val="00A73D8C"/>
    <w:rsid w:val="00A75732"/>
    <w:rsid w:val="00A835ED"/>
    <w:rsid w:val="00A9210A"/>
    <w:rsid w:val="00AA79EC"/>
    <w:rsid w:val="00AB5AAD"/>
    <w:rsid w:val="00AD75F3"/>
    <w:rsid w:val="00AE5804"/>
    <w:rsid w:val="00AE697E"/>
    <w:rsid w:val="00B00E53"/>
    <w:rsid w:val="00B13940"/>
    <w:rsid w:val="00B179B2"/>
    <w:rsid w:val="00B37757"/>
    <w:rsid w:val="00B47FEC"/>
    <w:rsid w:val="00B52CAC"/>
    <w:rsid w:val="00B66575"/>
    <w:rsid w:val="00B721FB"/>
    <w:rsid w:val="00B85F82"/>
    <w:rsid w:val="00B9521C"/>
    <w:rsid w:val="00BA1207"/>
    <w:rsid w:val="00BB43A1"/>
    <w:rsid w:val="00BB4DDF"/>
    <w:rsid w:val="00BD28A2"/>
    <w:rsid w:val="00BF3861"/>
    <w:rsid w:val="00BF7FF2"/>
    <w:rsid w:val="00C12E4D"/>
    <w:rsid w:val="00C232C8"/>
    <w:rsid w:val="00C320F7"/>
    <w:rsid w:val="00C36237"/>
    <w:rsid w:val="00C4482E"/>
    <w:rsid w:val="00C44DC4"/>
    <w:rsid w:val="00C50E67"/>
    <w:rsid w:val="00C5488C"/>
    <w:rsid w:val="00C632D8"/>
    <w:rsid w:val="00C84BDC"/>
    <w:rsid w:val="00C91AC1"/>
    <w:rsid w:val="00CA0D39"/>
    <w:rsid w:val="00CA1CC0"/>
    <w:rsid w:val="00CB261C"/>
    <w:rsid w:val="00CC1783"/>
    <w:rsid w:val="00CD5C58"/>
    <w:rsid w:val="00CE02BA"/>
    <w:rsid w:val="00CE3052"/>
    <w:rsid w:val="00CE4296"/>
    <w:rsid w:val="00CE480A"/>
    <w:rsid w:val="00CE77C8"/>
    <w:rsid w:val="00CF0039"/>
    <w:rsid w:val="00CF0D5F"/>
    <w:rsid w:val="00D015EB"/>
    <w:rsid w:val="00D044DE"/>
    <w:rsid w:val="00D16407"/>
    <w:rsid w:val="00D237AC"/>
    <w:rsid w:val="00D317FB"/>
    <w:rsid w:val="00D34E9A"/>
    <w:rsid w:val="00D50863"/>
    <w:rsid w:val="00D51617"/>
    <w:rsid w:val="00D65405"/>
    <w:rsid w:val="00D66B5F"/>
    <w:rsid w:val="00D66CC9"/>
    <w:rsid w:val="00D764CD"/>
    <w:rsid w:val="00D90D9F"/>
    <w:rsid w:val="00DC2E33"/>
    <w:rsid w:val="00DD1624"/>
    <w:rsid w:val="00DD1E10"/>
    <w:rsid w:val="00DE37F7"/>
    <w:rsid w:val="00DE67DD"/>
    <w:rsid w:val="00DE72F3"/>
    <w:rsid w:val="00DF09ED"/>
    <w:rsid w:val="00E00BD2"/>
    <w:rsid w:val="00E00F13"/>
    <w:rsid w:val="00E0184C"/>
    <w:rsid w:val="00E062CB"/>
    <w:rsid w:val="00E068B9"/>
    <w:rsid w:val="00E115BD"/>
    <w:rsid w:val="00E16A60"/>
    <w:rsid w:val="00E23F06"/>
    <w:rsid w:val="00E2653A"/>
    <w:rsid w:val="00E32E10"/>
    <w:rsid w:val="00E3403B"/>
    <w:rsid w:val="00E6348F"/>
    <w:rsid w:val="00E804E3"/>
    <w:rsid w:val="00E92D53"/>
    <w:rsid w:val="00E9465E"/>
    <w:rsid w:val="00E97BC2"/>
    <w:rsid w:val="00EA64E9"/>
    <w:rsid w:val="00EA7624"/>
    <w:rsid w:val="00EB4044"/>
    <w:rsid w:val="00EB4E0C"/>
    <w:rsid w:val="00EC6FB3"/>
    <w:rsid w:val="00ED00AE"/>
    <w:rsid w:val="00ED0ADC"/>
    <w:rsid w:val="00ED5914"/>
    <w:rsid w:val="00EE4850"/>
    <w:rsid w:val="00F10620"/>
    <w:rsid w:val="00F13DF6"/>
    <w:rsid w:val="00F15C0D"/>
    <w:rsid w:val="00F17E6B"/>
    <w:rsid w:val="00F22FE3"/>
    <w:rsid w:val="00F23A9D"/>
    <w:rsid w:val="00F2591D"/>
    <w:rsid w:val="00F27828"/>
    <w:rsid w:val="00F3455D"/>
    <w:rsid w:val="00F400D0"/>
    <w:rsid w:val="00F45A84"/>
    <w:rsid w:val="00F66703"/>
    <w:rsid w:val="00F74BC3"/>
    <w:rsid w:val="00F90A65"/>
    <w:rsid w:val="00FC0F2D"/>
    <w:rsid w:val="00FC10F1"/>
    <w:rsid w:val="00FC7E32"/>
    <w:rsid w:val="00FE159F"/>
    <w:rsid w:val="00FE1C31"/>
    <w:rsid w:val="00FE1DBD"/>
    <w:rsid w:val="00FE2644"/>
    <w:rsid w:val="00FE4AAA"/>
    <w:rsid w:val="00FE523A"/>
    <w:rsid w:val="00FF3332"/>
    <w:rsid w:val="00FF730B"/>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EDE65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A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0BF"/>
    <w:rPr>
      <w:rFonts w:ascii="Times New Roman" w:hAnsi="Times New Roman" w:cs="Times New Roman"/>
      <w:lang w:val="en-US"/>
    </w:rPr>
  </w:style>
  <w:style w:type="paragraph" w:styleId="Heading1">
    <w:name w:val="heading 1"/>
    <w:basedOn w:val="Normal"/>
    <w:next w:val="Normal"/>
    <w:link w:val="Heading1Char"/>
    <w:uiPriority w:val="9"/>
    <w:qFormat/>
    <w:rsid w:val="002354AF"/>
    <w:pPr>
      <w:keepNext/>
      <w:keepLines/>
      <w:spacing w:after="120" w:line="360" w:lineRule="auto"/>
      <w:outlineLvl w:val="0"/>
    </w:pPr>
    <w:rPr>
      <w:rFonts w:asciiTheme="majorHAnsi" w:eastAsiaTheme="majorEastAsia" w:hAnsiTheme="majorHAnsi" w:cstheme="majorBidi"/>
      <w:color w:val="365F91" w:themeColor="accent1" w:themeShade="BF"/>
      <w:sz w:val="32"/>
      <w:szCs w:val="32"/>
      <w:lang w:val="en-AU"/>
    </w:rPr>
  </w:style>
  <w:style w:type="paragraph" w:styleId="Heading2">
    <w:name w:val="heading 2"/>
    <w:basedOn w:val="Normal"/>
    <w:next w:val="Normal"/>
    <w:link w:val="Heading2Char"/>
    <w:uiPriority w:val="9"/>
    <w:unhideWhenUsed/>
    <w:qFormat/>
    <w:rsid w:val="00B37757"/>
    <w:pPr>
      <w:keepNext/>
      <w:keepLines/>
      <w:spacing w:before="40" w:line="276" w:lineRule="auto"/>
      <w:outlineLvl w:val="1"/>
    </w:pPr>
    <w:rPr>
      <w:rFonts w:asciiTheme="majorHAnsi" w:eastAsiaTheme="majorEastAsia" w:hAnsiTheme="majorHAnsi" w:cstheme="majorBidi"/>
      <w:color w:val="365F91" w:themeColor="accent1" w:themeShade="BF"/>
      <w:sz w:val="26"/>
      <w:szCs w:val="26"/>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362A0"/>
    <w:rPr>
      <w:color w:val="0000FF" w:themeColor="hyperlink"/>
      <w:u w:val="single"/>
    </w:rPr>
  </w:style>
  <w:style w:type="paragraph" w:customStyle="1" w:styleId="Para15">
    <w:name w:val="Para1.5"/>
    <w:basedOn w:val="Normal"/>
    <w:autoRedefine/>
    <w:qFormat/>
    <w:rsid w:val="007E25EA"/>
    <w:pPr>
      <w:spacing w:after="120" w:line="360" w:lineRule="auto"/>
    </w:pPr>
    <w:rPr>
      <w:rFonts w:ascii="Times" w:eastAsiaTheme="minorHAnsi" w:hAnsi="Times"/>
      <w:lang w:val="en-AU"/>
    </w:rPr>
  </w:style>
  <w:style w:type="paragraph" w:customStyle="1" w:styleId="ParaFollowSub">
    <w:name w:val="ParaFollowSub"/>
    <w:basedOn w:val="Para15"/>
    <w:next w:val="Para15"/>
    <w:qFormat/>
    <w:rsid w:val="001362A0"/>
  </w:style>
  <w:style w:type="paragraph" w:customStyle="1" w:styleId="myfoot">
    <w:name w:val="myfoot"/>
    <w:basedOn w:val="FootnoteText"/>
    <w:qFormat/>
    <w:rsid w:val="001362A0"/>
    <w:pPr>
      <w:spacing w:after="80"/>
    </w:pPr>
    <w:rPr>
      <w:rFonts w:ascii="Times New Roman" w:eastAsiaTheme="minorHAnsi" w:hAnsi="Times New Roman"/>
      <w:sz w:val="20"/>
      <w:szCs w:val="20"/>
    </w:rPr>
  </w:style>
  <w:style w:type="paragraph" w:styleId="EndnoteText">
    <w:name w:val="endnote text"/>
    <w:basedOn w:val="Normal"/>
    <w:link w:val="EndnoteTextChar"/>
    <w:uiPriority w:val="99"/>
    <w:semiHidden/>
    <w:unhideWhenUsed/>
    <w:rsid w:val="001362A0"/>
    <w:rPr>
      <w:rFonts w:asciiTheme="minorHAnsi" w:eastAsiaTheme="minorHAnsi" w:hAnsiTheme="minorHAnsi" w:cstheme="minorBidi"/>
      <w:sz w:val="20"/>
      <w:szCs w:val="20"/>
      <w:lang w:val="en-AU"/>
    </w:rPr>
  </w:style>
  <w:style w:type="character" w:customStyle="1" w:styleId="EndnoteTextChar">
    <w:name w:val="Endnote Text Char"/>
    <w:basedOn w:val="DefaultParagraphFont"/>
    <w:link w:val="EndnoteText"/>
    <w:uiPriority w:val="99"/>
    <w:semiHidden/>
    <w:rsid w:val="001362A0"/>
    <w:rPr>
      <w:rFonts w:eastAsiaTheme="minorHAnsi"/>
      <w:sz w:val="20"/>
      <w:szCs w:val="20"/>
    </w:rPr>
  </w:style>
  <w:style w:type="character" w:styleId="EndnoteReference">
    <w:name w:val="endnote reference"/>
    <w:basedOn w:val="DefaultParagraphFont"/>
    <w:uiPriority w:val="99"/>
    <w:semiHidden/>
    <w:unhideWhenUsed/>
    <w:rsid w:val="001362A0"/>
    <w:rPr>
      <w:vertAlign w:val="superscript"/>
    </w:rPr>
  </w:style>
  <w:style w:type="paragraph" w:styleId="FootnoteText">
    <w:name w:val="footnote text"/>
    <w:aliases w:val="Footnote Text Char1"/>
    <w:basedOn w:val="Normal"/>
    <w:link w:val="FootnoteTextChar"/>
    <w:unhideWhenUsed/>
    <w:rsid w:val="001362A0"/>
    <w:rPr>
      <w:rFonts w:asciiTheme="minorHAnsi" w:hAnsiTheme="minorHAnsi" w:cstheme="minorBidi"/>
      <w:lang w:val="en-AU"/>
    </w:rPr>
  </w:style>
  <w:style w:type="character" w:customStyle="1" w:styleId="FootnoteTextChar">
    <w:name w:val="Footnote Text Char"/>
    <w:aliases w:val="Footnote Text Char1 Char"/>
    <w:basedOn w:val="DefaultParagraphFont"/>
    <w:link w:val="FootnoteText"/>
    <w:rsid w:val="001362A0"/>
  </w:style>
  <w:style w:type="character" w:customStyle="1" w:styleId="Heading1Char">
    <w:name w:val="Heading 1 Char"/>
    <w:basedOn w:val="DefaultParagraphFont"/>
    <w:link w:val="Heading1"/>
    <w:uiPriority w:val="9"/>
    <w:rsid w:val="002354A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37757"/>
    <w:rPr>
      <w:rFonts w:asciiTheme="majorHAnsi" w:eastAsiaTheme="majorEastAsia" w:hAnsiTheme="majorHAnsi" w:cstheme="majorBidi"/>
      <w:color w:val="365F91" w:themeColor="accent1" w:themeShade="BF"/>
      <w:sz w:val="26"/>
      <w:szCs w:val="26"/>
    </w:rPr>
  </w:style>
  <w:style w:type="character" w:styleId="FootnoteReference">
    <w:name w:val="footnote reference"/>
    <w:basedOn w:val="DefaultParagraphFont"/>
    <w:unhideWhenUsed/>
    <w:rsid w:val="00B37757"/>
    <w:rPr>
      <w:vertAlign w:val="superscript"/>
    </w:rPr>
  </w:style>
  <w:style w:type="table" w:styleId="TableGrid">
    <w:name w:val="Table Grid"/>
    <w:basedOn w:val="TableNormal"/>
    <w:uiPriority w:val="59"/>
    <w:rsid w:val="008525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F10620"/>
    <w:pPr>
      <w:tabs>
        <w:tab w:val="center" w:pos="4513"/>
        <w:tab w:val="right" w:pos="9026"/>
      </w:tabs>
    </w:pPr>
    <w:rPr>
      <w:rFonts w:asciiTheme="minorHAnsi" w:hAnsiTheme="minorHAnsi" w:cstheme="minorBidi"/>
      <w:lang w:val="en-AU"/>
    </w:rPr>
  </w:style>
  <w:style w:type="character" w:customStyle="1" w:styleId="FooterChar">
    <w:name w:val="Footer Char"/>
    <w:basedOn w:val="DefaultParagraphFont"/>
    <w:link w:val="Footer"/>
    <w:uiPriority w:val="99"/>
    <w:rsid w:val="00F10620"/>
  </w:style>
  <w:style w:type="character" w:styleId="PageNumber">
    <w:name w:val="page number"/>
    <w:basedOn w:val="DefaultParagraphFont"/>
    <w:uiPriority w:val="99"/>
    <w:semiHidden/>
    <w:unhideWhenUsed/>
    <w:rsid w:val="00F10620"/>
  </w:style>
  <w:style w:type="paragraph" w:styleId="BalloonText">
    <w:name w:val="Balloon Text"/>
    <w:basedOn w:val="Normal"/>
    <w:link w:val="BalloonTextChar"/>
    <w:uiPriority w:val="99"/>
    <w:semiHidden/>
    <w:unhideWhenUsed/>
    <w:rsid w:val="00F10620"/>
    <w:rPr>
      <w:sz w:val="18"/>
      <w:szCs w:val="18"/>
      <w:lang w:val="en-AU"/>
    </w:rPr>
  </w:style>
  <w:style w:type="character" w:customStyle="1" w:styleId="BalloonTextChar">
    <w:name w:val="Balloon Text Char"/>
    <w:basedOn w:val="DefaultParagraphFont"/>
    <w:link w:val="BalloonText"/>
    <w:uiPriority w:val="99"/>
    <w:semiHidden/>
    <w:rsid w:val="00F10620"/>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153E18"/>
    <w:rPr>
      <w:sz w:val="16"/>
      <w:szCs w:val="16"/>
    </w:rPr>
  </w:style>
  <w:style w:type="paragraph" w:styleId="CommentText">
    <w:name w:val="annotation text"/>
    <w:basedOn w:val="Normal"/>
    <w:link w:val="CommentTextChar"/>
    <w:uiPriority w:val="99"/>
    <w:semiHidden/>
    <w:unhideWhenUsed/>
    <w:rsid w:val="00153E18"/>
    <w:rPr>
      <w:rFonts w:asciiTheme="minorHAnsi" w:hAnsiTheme="minorHAnsi" w:cstheme="minorBidi"/>
      <w:sz w:val="20"/>
      <w:szCs w:val="20"/>
      <w:lang w:val="en-AU"/>
    </w:rPr>
  </w:style>
  <w:style w:type="character" w:customStyle="1" w:styleId="CommentTextChar">
    <w:name w:val="Comment Text Char"/>
    <w:basedOn w:val="DefaultParagraphFont"/>
    <w:link w:val="CommentText"/>
    <w:uiPriority w:val="99"/>
    <w:semiHidden/>
    <w:rsid w:val="00153E18"/>
    <w:rPr>
      <w:sz w:val="20"/>
      <w:szCs w:val="20"/>
    </w:rPr>
  </w:style>
  <w:style w:type="paragraph" w:styleId="CommentSubject">
    <w:name w:val="annotation subject"/>
    <w:basedOn w:val="CommentText"/>
    <w:next w:val="CommentText"/>
    <w:link w:val="CommentSubjectChar"/>
    <w:uiPriority w:val="99"/>
    <w:semiHidden/>
    <w:unhideWhenUsed/>
    <w:rsid w:val="00153E18"/>
    <w:rPr>
      <w:b/>
      <w:bCs/>
    </w:rPr>
  </w:style>
  <w:style w:type="character" w:customStyle="1" w:styleId="CommentSubjectChar">
    <w:name w:val="Comment Subject Char"/>
    <w:basedOn w:val="CommentTextChar"/>
    <w:link w:val="CommentSubject"/>
    <w:uiPriority w:val="99"/>
    <w:semiHidden/>
    <w:rsid w:val="00153E18"/>
    <w:rPr>
      <w:b/>
      <w:bCs/>
      <w:sz w:val="20"/>
      <w:szCs w:val="20"/>
    </w:rPr>
  </w:style>
  <w:style w:type="paragraph" w:styleId="ListParagraph">
    <w:name w:val="List Paragraph"/>
    <w:basedOn w:val="Normal"/>
    <w:uiPriority w:val="34"/>
    <w:qFormat/>
    <w:rsid w:val="0084338A"/>
    <w:pPr>
      <w:spacing w:after="200" w:line="276" w:lineRule="auto"/>
      <w:ind w:left="720"/>
      <w:contextualSpacing/>
    </w:pPr>
    <w:rPr>
      <w:rFonts w:asciiTheme="minorHAnsi" w:eastAsia="Times New Roman" w:hAnsiTheme="minorHAnsi"/>
      <w:lang w:val="en-AU"/>
    </w:rPr>
  </w:style>
  <w:style w:type="paragraph" w:styleId="NormalWeb">
    <w:name w:val="Normal (Web)"/>
    <w:basedOn w:val="Normal"/>
    <w:uiPriority w:val="99"/>
    <w:unhideWhenUsed/>
    <w:rsid w:val="0084338A"/>
    <w:pPr>
      <w:spacing w:before="100" w:beforeAutospacing="1" w:after="100" w:afterAutospacing="1"/>
    </w:pPr>
    <w:rPr>
      <w:rFonts w:ascii="Times" w:hAnsi="Times"/>
      <w:sz w:val="20"/>
      <w:szCs w:val="20"/>
      <w:lang w:val="en-AU"/>
    </w:rPr>
  </w:style>
  <w:style w:type="character" w:customStyle="1" w:styleId="apple-converted-space">
    <w:name w:val="apple-converted-space"/>
    <w:basedOn w:val="DefaultParagraphFont"/>
    <w:rsid w:val="00A31A7C"/>
  </w:style>
  <w:style w:type="character" w:customStyle="1" w:styleId="list-item-title">
    <w:name w:val="list-item-title"/>
    <w:basedOn w:val="DefaultParagraphFont"/>
    <w:rsid w:val="00CE02BA"/>
  </w:style>
  <w:style w:type="character" w:customStyle="1" w:styleId="list-item-type">
    <w:name w:val="list-item-type"/>
    <w:basedOn w:val="DefaultParagraphFont"/>
    <w:rsid w:val="00CE02BA"/>
  </w:style>
  <w:style w:type="character" w:styleId="FollowedHyperlink">
    <w:name w:val="FollowedHyperlink"/>
    <w:basedOn w:val="DefaultParagraphFont"/>
    <w:uiPriority w:val="99"/>
    <w:semiHidden/>
    <w:unhideWhenUsed/>
    <w:rsid w:val="00FE159F"/>
    <w:rPr>
      <w:color w:val="800080" w:themeColor="followedHyperlink"/>
      <w:u w:val="single"/>
    </w:rPr>
  </w:style>
  <w:style w:type="paragraph" w:styleId="DocumentMap">
    <w:name w:val="Document Map"/>
    <w:basedOn w:val="Normal"/>
    <w:link w:val="DocumentMapChar"/>
    <w:uiPriority w:val="99"/>
    <w:semiHidden/>
    <w:unhideWhenUsed/>
    <w:rsid w:val="00D66B5F"/>
    <w:rPr>
      <w:lang w:val="en-AU"/>
    </w:rPr>
  </w:style>
  <w:style w:type="character" w:customStyle="1" w:styleId="DocumentMapChar">
    <w:name w:val="Document Map Char"/>
    <w:basedOn w:val="DefaultParagraphFont"/>
    <w:link w:val="DocumentMap"/>
    <w:uiPriority w:val="99"/>
    <w:semiHidden/>
    <w:rsid w:val="00D66B5F"/>
    <w:rPr>
      <w:rFonts w:ascii="Times New Roman" w:hAnsi="Times New Roman" w:cs="Times New Roman"/>
    </w:rPr>
  </w:style>
  <w:style w:type="character" w:styleId="Strong">
    <w:name w:val="Strong"/>
    <w:basedOn w:val="DefaultParagraphFont"/>
    <w:uiPriority w:val="22"/>
    <w:qFormat/>
    <w:rsid w:val="00FE2644"/>
    <w:rPr>
      <w:b/>
      <w:bCs/>
    </w:rPr>
  </w:style>
  <w:style w:type="character" w:styleId="Emphasis">
    <w:name w:val="Emphasis"/>
    <w:basedOn w:val="DefaultParagraphFont"/>
    <w:uiPriority w:val="20"/>
    <w:qFormat/>
    <w:rsid w:val="00FE2644"/>
    <w:rPr>
      <w:i/>
      <w:iCs/>
    </w:rPr>
  </w:style>
  <w:style w:type="character" w:customStyle="1" w:styleId="browse-item-data">
    <w:name w:val="browse-item-data"/>
    <w:basedOn w:val="DefaultParagraphFont"/>
    <w:rsid w:val="0047195F"/>
  </w:style>
  <w:style w:type="paragraph" w:styleId="Header">
    <w:name w:val="header"/>
    <w:basedOn w:val="Normal"/>
    <w:link w:val="HeaderChar"/>
    <w:uiPriority w:val="99"/>
    <w:unhideWhenUsed/>
    <w:rsid w:val="00434C60"/>
    <w:pPr>
      <w:tabs>
        <w:tab w:val="center" w:pos="4513"/>
        <w:tab w:val="right" w:pos="9026"/>
      </w:tabs>
    </w:pPr>
  </w:style>
  <w:style w:type="character" w:customStyle="1" w:styleId="HeaderChar">
    <w:name w:val="Header Char"/>
    <w:basedOn w:val="DefaultParagraphFont"/>
    <w:link w:val="Header"/>
    <w:uiPriority w:val="99"/>
    <w:rsid w:val="00434C60"/>
    <w:rPr>
      <w:rFonts w:ascii="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08385">
      <w:bodyDiv w:val="1"/>
      <w:marLeft w:val="0"/>
      <w:marRight w:val="0"/>
      <w:marTop w:val="0"/>
      <w:marBottom w:val="0"/>
      <w:divBdr>
        <w:top w:val="none" w:sz="0" w:space="0" w:color="auto"/>
        <w:left w:val="none" w:sz="0" w:space="0" w:color="auto"/>
        <w:bottom w:val="none" w:sz="0" w:space="0" w:color="auto"/>
        <w:right w:val="none" w:sz="0" w:space="0" w:color="auto"/>
      </w:divBdr>
      <w:divsChild>
        <w:div w:id="1138916531">
          <w:marLeft w:val="0"/>
          <w:marRight w:val="0"/>
          <w:marTop w:val="0"/>
          <w:marBottom w:val="0"/>
          <w:divBdr>
            <w:top w:val="none" w:sz="0" w:space="0" w:color="auto"/>
            <w:left w:val="none" w:sz="0" w:space="0" w:color="auto"/>
            <w:bottom w:val="none" w:sz="0" w:space="0" w:color="auto"/>
            <w:right w:val="none" w:sz="0" w:space="0" w:color="auto"/>
          </w:divBdr>
          <w:divsChild>
            <w:div w:id="1112825391">
              <w:marLeft w:val="0"/>
              <w:marRight w:val="0"/>
              <w:marTop w:val="0"/>
              <w:marBottom w:val="0"/>
              <w:divBdr>
                <w:top w:val="none" w:sz="0" w:space="0" w:color="auto"/>
                <w:left w:val="none" w:sz="0" w:space="0" w:color="auto"/>
                <w:bottom w:val="none" w:sz="0" w:space="0" w:color="auto"/>
                <w:right w:val="none" w:sz="0" w:space="0" w:color="auto"/>
              </w:divBdr>
              <w:divsChild>
                <w:div w:id="2070348942">
                  <w:marLeft w:val="0"/>
                  <w:marRight w:val="0"/>
                  <w:marTop w:val="0"/>
                  <w:marBottom w:val="0"/>
                  <w:divBdr>
                    <w:top w:val="none" w:sz="0" w:space="0" w:color="auto"/>
                    <w:left w:val="none" w:sz="0" w:space="0" w:color="auto"/>
                    <w:bottom w:val="none" w:sz="0" w:space="0" w:color="auto"/>
                    <w:right w:val="none" w:sz="0" w:space="0" w:color="auto"/>
                  </w:divBdr>
                  <w:divsChild>
                    <w:div w:id="116852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94211">
      <w:bodyDiv w:val="1"/>
      <w:marLeft w:val="0"/>
      <w:marRight w:val="0"/>
      <w:marTop w:val="0"/>
      <w:marBottom w:val="0"/>
      <w:divBdr>
        <w:top w:val="none" w:sz="0" w:space="0" w:color="auto"/>
        <w:left w:val="none" w:sz="0" w:space="0" w:color="auto"/>
        <w:bottom w:val="none" w:sz="0" w:space="0" w:color="auto"/>
        <w:right w:val="none" w:sz="0" w:space="0" w:color="auto"/>
      </w:divBdr>
      <w:divsChild>
        <w:div w:id="1567259550">
          <w:marLeft w:val="0"/>
          <w:marRight w:val="0"/>
          <w:marTop w:val="0"/>
          <w:marBottom w:val="0"/>
          <w:divBdr>
            <w:top w:val="none" w:sz="0" w:space="0" w:color="auto"/>
            <w:left w:val="none" w:sz="0" w:space="0" w:color="auto"/>
            <w:bottom w:val="none" w:sz="0" w:space="0" w:color="auto"/>
            <w:right w:val="none" w:sz="0" w:space="0" w:color="auto"/>
          </w:divBdr>
          <w:divsChild>
            <w:div w:id="1825269563">
              <w:marLeft w:val="0"/>
              <w:marRight w:val="0"/>
              <w:marTop w:val="0"/>
              <w:marBottom w:val="0"/>
              <w:divBdr>
                <w:top w:val="none" w:sz="0" w:space="0" w:color="auto"/>
                <w:left w:val="none" w:sz="0" w:space="0" w:color="auto"/>
                <w:bottom w:val="none" w:sz="0" w:space="0" w:color="auto"/>
                <w:right w:val="none" w:sz="0" w:space="0" w:color="auto"/>
              </w:divBdr>
              <w:divsChild>
                <w:div w:id="522328195">
                  <w:marLeft w:val="0"/>
                  <w:marRight w:val="0"/>
                  <w:marTop w:val="0"/>
                  <w:marBottom w:val="0"/>
                  <w:divBdr>
                    <w:top w:val="none" w:sz="0" w:space="0" w:color="auto"/>
                    <w:left w:val="none" w:sz="0" w:space="0" w:color="auto"/>
                    <w:bottom w:val="none" w:sz="0" w:space="0" w:color="auto"/>
                    <w:right w:val="none" w:sz="0" w:space="0" w:color="auto"/>
                  </w:divBdr>
                  <w:divsChild>
                    <w:div w:id="142726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15971">
      <w:bodyDiv w:val="1"/>
      <w:marLeft w:val="0"/>
      <w:marRight w:val="0"/>
      <w:marTop w:val="0"/>
      <w:marBottom w:val="0"/>
      <w:divBdr>
        <w:top w:val="none" w:sz="0" w:space="0" w:color="auto"/>
        <w:left w:val="none" w:sz="0" w:space="0" w:color="auto"/>
        <w:bottom w:val="none" w:sz="0" w:space="0" w:color="auto"/>
        <w:right w:val="none" w:sz="0" w:space="0" w:color="auto"/>
      </w:divBdr>
    </w:div>
    <w:div w:id="180363907">
      <w:bodyDiv w:val="1"/>
      <w:marLeft w:val="0"/>
      <w:marRight w:val="0"/>
      <w:marTop w:val="0"/>
      <w:marBottom w:val="0"/>
      <w:divBdr>
        <w:top w:val="none" w:sz="0" w:space="0" w:color="auto"/>
        <w:left w:val="none" w:sz="0" w:space="0" w:color="auto"/>
        <w:bottom w:val="none" w:sz="0" w:space="0" w:color="auto"/>
        <w:right w:val="none" w:sz="0" w:space="0" w:color="auto"/>
      </w:divBdr>
      <w:divsChild>
        <w:div w:id="1192495482">
          <w:marLeft w:val="0"/>
          <w:marRight w:val="0"/>
          <w:marTop w:val="0"/>
          <w:marBottom w:val="0"/>
          <w:divBdr>
            <w:top w:val="none" w:sz="0" w:space="0" w:color="auto"/>
            <w:left w:val="none" w:sz="0" w:space="0" w:color="auto"/>
            <w:bottom w:val="none" w:sz="0" w:space="0" w:color="auto"/>
            <w:right w:val="none" w:sz="0" w:space="0" w:color="auto"/>
          </w:divBdr>
          <w:divsChild>
            <w:div w:id="2017919395">
              <w:marLeft w:val="0"/>
              <w:marRight w:val="0"/>
              <w:marTop w:val="0"/>
              <w:marBottom w:val="0"/>
              <w:divBdr>
                <w:top w:val="none" w:sz="0" w:space="0" w:color="auto"/>
                <w:left w:val="none" w:sz="0" w:space="0" w:color="auto"/>
                <w:bottom w:val="none" w:sz="0" w:space="0" w:color="auto"/>
                <w:right w:val="none" w:sz="0" w:space="0" w:color="auto"/>
              </w:divBdr>
              <w:divsChild>
                <w:div w:id="108615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917484">
      <w:bodyDiv w:val="1"/>
      <w:marLeft w:val="0"/>
      <w:marRight w:val="0"/>
      <w:marTop w:val="0"/>
      <w:marBottom w:val="0"/>
      <w:divBdr>
        <w:top w:val="none" w:sz="0" w:space="0" w:color="auto"/>
        <w:left w:val="none" w:sz="0" w:space="0" w:color="auto"/>
        <w:bottom w:val="none" w:sz="0" w:space="0" w:color="auto"/>
        <w:right w:val="none" w:sz="0" w:space="0" w:color="auto"/>
      </w:divBdr>
    </w:div>
    <w:div w:id="249435666">
      <w:bodyDiv w:val="1"/>
      <w:marLeft w:val="0"/>
      <w:marRight w:val="0"/>
      <w:marTop w:val="0"/>
      <w:marBottom w:val="0"/>
      <w:divBdr>
        <w:top w:val="none" w:sz="0" w:space="0" w:color="auto"/>
        <w:left w:val="none" w:sz="0" w:space="0" w:color="auto"/>
        <w:bottom w:val="none" w:sz="0" w:space="0" w:color="auto"/>
        <w:right w:val="none" w:sz="0" w:space="0" w:color="auto"/>
      </w:divBdr>
    </w:div>
    <w:div w:id="259529776">
      <w:bodyDiv w:val="1"/>
      <w:marLeft w:val="0"/>
      <w:marRight w:val="0"/>
      <w:marTop w:val="0"/>
      <w:marBottom w:val="0"/>
      <w:divBdr>
        <w:top w:val="none" w:sz="0" w:space="0" w:color="auto"/>
        <w:left w:val="none" w:sz="0" w:space="0" w:color="auto"/>
        <w:bottom w:val="none" w:sz="0" w:space="0" w:color="auto"/>
        <w:right w:val="none" w:sz="0" w:space="0" w:color="auto"/>
      </w:divBdr>
    </w:div>
    <w:div w:id="289364986">
      <w:bodyDiv w:val="1"/>
      <w:marLeft w:val="0"/>
      <w:marRight w:val="0"/>
      <w:marTop w:val="0"/>
      <w:marBottom w:val="0"/>
      <w:divBdr>
        <w:top w:val="none" w:sz="0" w:space="0" w:color="auto"/>
        <w:left w:val="none" w:sz="0" w:space="0" w:color="auto"/>
        <w:bottom w:val="none" w:sz="0" w:space="0" w:color="auto"/>
        <w:right w:val="none" w:sz="0" w:space="0" w:color="auto"/>
      </w:divBdr>
      <w:divsChild>
        <w:div w:id="1140457906">
          <w:marLeft w:val="0"/>
          <w:marRight w:val="0"/>
          <w:marTop w:val="0"/>
          <w:marBottom w:val="0"/>
          <w:divBdr>
            <w:top w:val="none" w:sz="0" w:space="0" w:color="auto"/>
            <w:left w:val="none" w:sz="0" w:space="0" w:color="auto"/>
            <w:bottom w:val="none" w:sz="0" w:space="0" w:color="auto"/>
            <w:right w:val="none" w:sz="0" w:space="0" w:color="auto"/>
          </w:divBdr>
          <w:divsChild>
            <w:div w:id="528686554">
              <w:marLeft w:val="0"/>
              <w:marRight w:val="0"/>
              <w:marTop w:val="0"/>
              <w:marBottom w:val="0"/>
              <w:divBdr>
                <w:top w:val="none" w:sz="0" w:space="0" w:color="auto"/>
                <w:left w:val="none" w:sz="0" w:space="0" w:color="auto"/>
                <w:bottom w:val="none" w:sz="0" w:space="0" w:color="auto"/>
                <w:right w:val="none" w:sz="0" w:space="0" w:color="auto"/>
              </w:divBdr>
              <w:divsChild>
                <w:div w:id="45922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626905">
      <w:bodyDiv w:val="1"/>
      <w:marLeft w:val="0"/>
      <w:marRight w:val="0"/>
      <w:marTop w:val="0"/>
      <w:marBottom w:val="0"/>
      <w:divBdr>
        <w:top w:val="none" w:sz="0" w:space="0" w:color="auto"/>
        <w:left w:val="none" w:sz="0" w:space="0" w:color="auto"/>
        <w:bottom w:val="none" w:sz="0" w:space="0" w:color="auto"/>
        <w:right w:val="none" w:sz="0" w:space="0" w:color="auto"/>
      </w:divBdr>
    </w:div>
    <w:div w:id="291135037">
      <w:bodyDiv w:val="1"/>
      <w:marLeft w:val="0"/>
      <w:marRight w:val="0"/>
      <w:marTop w:val="0"/>
      <w:marBottom w:val="0"/>
      <w:divBdr>
        <w:top w:val="none" w:sz="0" w:space="0" w:color="auto"/>
        <w:left w:val="none" w:sz="0" w:space="0" w:color="auto"/>
        <w:bottom w:val="none" w:sz="0" w:space="0" w:color="auto"/>
        <w:right w:val="none" w:sz="0" w:space="0" w:color="auto"/>
      </w:divBdr>
      <w:divsChild>
        <w:div w:id="1049693625">
          <w:marLeft w:val="0"/>
          <w:marRight w:val="0"/>
          <w:marTop w:val="0"/>
          <w:marBottom w:val="0"/>
          <w:divBdr>
            <w:top w:val="none" w:sz="0" w:space="0" w:color="auto"/>
            <w:left w:val="none" w:sz="0" w:space="0" w:color="auto"/>
            <w:bottom w:val="none" w:sz="0" w:space="0" w:color="auto"/>
            <w:right w:val="none" w:sz="0" w:space="0" w:color="auto"/>
          </w:divBdr>
          <w:divsChild>
            <w:div w:id="770394255">
              <w:marLeft w:val="0"/>
              <w:marRight w:val="0"/>
              <w:marTop w:val="0"/>
              <w:marBottom w:val="0"/>
              <w:divBdr>
                <w:top w:val="none" w:sz="0" w:space="0" w:color="auto"/>
                <w:left w:val="none" w:sz="0" w:space="0" w:color="auto"/>
                <w:bottom w:val="none" w:sz="0" w:space="0" w:color="auto"/>
                <w:right w:val="none" w:sz="0" w:space="0" w:color="auto"/>
              </w:divBdr>
              <w:divsChild>
                <w:div w:id="158475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155414">
      <w:bodyDiv w:val="1"/>
      <w:marLeft w:val="0"/>
      <w:marRight w:val="0"/>
      <w:marTop w:val="0"/>
      <w:marBottom w:val="0"/>
      <w:divBdr>
        <w:top w:val="none" w:sz="0" w:space="0" w:color="auto"/>
        <w:left w:val="none" w:sz="0" w:space="0" w:color="auto"/>
        <w:bottom w:val="none" w:sz="0" w:space="0" w:color="auto"/>
        <w:right w:val="none" w:sz="0" w:space="0" w:color="auto"/>
      </w:divBdr>
    </w:div>
    <w:div w:id="419564327">
      <w:bodyDiv w:val="1"/>
      <w:marLeft w:val="0"/>
      <w:marRight w:val="0"/>
      <w:marTop w:val="0"/>
      <w:marBottom w:val="0"/>
      <w:divBdr>
        <w:top w:val="none" w:sz="0" w:space="0" w:color="auto"/>
        <w:left w:val="none" w:sz="0" w:space="0" w:color="auto"/>
        <w:bottom w:val="none" w:sz="0" w:space="0" w:color="auto"/>
        <w:right w:val="none" w:sz="0" w:space="0" w:color="auto"/>
      </w:divBdr>
    </w:div>
    <w:div w:id="509566620">
      <w:bodyDiv w:val="1"/>
      <w:marLeft w:val="0"/>
      <w:marRight w:val="0"/>
      <w:marTop w:val="0"/>
      <w:marBottom w:val="0"/>
      <w:divBdr>
        <w:top w:val="none" w:sz="0" w:space="0" w:color="auto"/>
        <w:left w:val="none" w:sz="0" w:space="0" w:color="auto"/>
        <w:bottom w:val="none" w:sz="0" w:space="0" w:color="auto"/>
        <w:right w:val="none" w:sz="0" w:space="0" w:color="auto"/>
      </w:divBdr>
    </w:div>
    <w:div w:id="569853207">
      <w:bodyDiv w:val="1"/>
      <w:marLeft w:val="0"/>
      <w:marRight w:val="0"/>
      <w:marTop w:val="0"/>
      <w:marBottom w:val="0"/>
      <w:divBdr>
        <w:top w:val="none" w:sz="0" w:space="0" w:color="auto"/>
        <w:left w:val="none" w:sz="0" w:space="0" w:color="auto"/>
        <w:bottom w:val="none" w:sz="0" w:space="0" w:color="auto"/>
        <w:right w:val="none" w:sz="0" w:space="0" w:color="auto"/>
      </w:divBdr>
      <w:divsChild>
        <w:div w:id="798954608">
          <w:marLeft w:val="0"/>
          <w:marRight w:val="0"/>
          <w:marTop w:val="0"/>
          <w:marBottom w:val="0"/>
          <w:divBdr>
            <w:top w:val="none" w:sz="0" w:space="0" w:color="auto"/>
            <w:left w:val="none" w:sz="0" w:space="0" w:color="auto"/>
            <w:bottom w:val="none" w:sz="0" w:space="0" w:color="auto"/>
            <w:right w:val="none" w:sz="0" w:space="0" w:color="auto"/>
          </w:divBdr>
          <w:divsChild>
            <w:div w:id="971325569">
              <w:marLeft w:val="0"/>
              <w:marRight w:val="0"/>
              <w:marTop w:val="0"/>
              <w:marBottom w:val="0"/>
              <w:divBdr>
                <w:top w:val="none" w:sz="0" w:space="0" w:color="auto"/>
                <w:left w:val="none" w:sz="0" w:space="0" w:color="auto"/>
                <w:bottom w:val="none" w:sz="0" w:space="0" w:color="auto"/>
                <w:right w:val="none" w:sz="0" w:space="0" w:color="auto"/>
              </w:divBdr>
              <w:divsChild>
                <w:div w:id="193269349">
                  <w:marLeft w:val="0"/>
                  <w:marRight w:val="0"/>
                  <w:marTop w:val="0"/>
                  <w:marBottom w:val="0"/>
                  <w:divBdr>
                    <w:top w:val="none" w:sz="0" w:space="0" w:color="auto"/>
                    <w:left w:val="none" w:sz="0" w:space="0" w:color="auto"/>
                    <w:bottom w:val="none" w:sz="0" w:space="0" w:color="auto"/>
                    <w:right w:val="none" w:sz="0" w:space="0" w:color="auto"/>
                  </w:divBdr>
                  <w:divsChild>
                    <w:div w:id="160904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599838">
      <w:bodyDiv w:val="1"/>
      <w:marLeft w:val="0"/>
      <w:marRight w:val="0"/>
      <w:marTop w:val="0"/>
      <w:marBottom w:val="0"/>
      <w:divBdr>
        <w:top w:val="none" w:sz="0" w:space="0" w:color="auto"/>
        <w:left w:val="none" w:sz="0" w:space="0" w:color="auto"/>
        <w:bottom w:val="none" w:sz="0" w:space="0" w:color="auto"/>
        <w:right w:val="none" w:sz="0" w:space="0" w:color="auto"/>
      </w:divBdr>
      <w:divsChild>
        <w:div w:id="1670282673">
          <w:marLeft w:val="360"/>
          <w:marRight w:val="0"/>
          <w:marTop w:val="200"/>
          <w:marBottom w:val="0"/>
          <w:divBdr>
            <w:top w:val="none" w:sz="0" w:space="0" w:color="auto"/>
            <w:left w:val="none" w:sz="0" w:space="0" w:color="auto"/>
            <w:bottom w:val="none" w:sz="0" w:space="0" w:color="auto"/>
            <w:right w:val="none" w:sz="0" w:space="0" w:color="auto"/>
          </w:divBdr>
        </w:div>
      </w:divsChild>
    </w:div>
    <w:div w:id="644047305">
      <w:bodyDiv w:val="1"/>
      <w:marLeft w:val="0"/>
      <w:marRight w:val="0"/>
      <w:marTop w:val="0"/>
      <w:marBottom w:val="0"/>
      <w:divBdr>
        <w:top w:val="none" w:sz="0" w:space="0" w:color="auto"/>
        <w:left w:val="none" w:sz="0" w:space="0" w:color="auto"/>
        <w:bottom w:val="none" w:sz="0" w:space="0" w:color="auto"/>
        <w:right w:val="none" w:sz="0" w:space="0" w:color="auto"/>
      </w:divBdr>
    </w:div>
    <w:div w:id="658271923">
      <w:bodyDiv w:val="1"/>
      <w:marLeft w:val="0"/>
      <w:marRight w:val="0"/>
      <w:marTop w:val="0"/>
      <w:marBottom w:val="0"/>
      <w:divBdr>
        <w:top w:val="none" w:sz="0" w:space="0" w:color="auto"/>
        <w:left w:val="none" w:sz="0" w:space="0" w:color="auto"/>
        <w:bottom w:val="none" w:sz="0" w:space="0" w:color="auto"/>
        <w:right w:val="none" w:sz="0" w:space="0" w:color="auto"/>
      </w:divBdr>
    </w:div>
    <w:div w:id="682782052">
      <w:bodyDiv w:val="1"/>
      <w:marLeft w:val="0"/>
      <w:marRight w:val="0"/>
      <w:marTop w:val="0"/>
      <w:marBottom w:val="0"/>
      <w:divBdr>
        <w:top w:val="none" w:sz="0" w:space="0" w:color="auto"/>
        <w:left w:val="none" w:sz="0" w:space="0" w:color="auto"/>
        <w:bottom w:val="none" w:sz="0" w:space="0" w:color="auto"/>
        <w:right w:val="none" w:sz="0" w:space="0" w:color="auto"/>
      </w:divBdr>
    </w:div>
    <w:div w:id="824509730">
      <w:bodyDiv w:val="1"/>
      <w:marLeft w:val="0"/>
      <w:marRight w:val="0"/>
      <w:marTop w:val="0"/>
      <w:marBottom w:val="0"/>
      <w:divBdr>
        <w:top w:val="none" w:sz="0" w:space="0" w:color="auto"/>
        <w:left w:val="none" w:sz="0" w:space="0" w:color="auto"/>
        <w:bottom w:val="none" w:sz="0" w:space="0" w:color="auto"/>
        <w:right w:val="none" w:sz="0" w:space="0" w:color="auto"/>
      </w:divBdr>
    </w:div>
    <w:div w:id="847209458">
      <w:bodyDiv w:val="1"/>
      <w:marLeft w:val="0"/>
      <w:marRight w:val="0"/>
      <w:marTop w:val="0"/>
      <w:marBottom w:val="0"/>
      <w:divBdr>
        <w:top w:val="none" w:sz="0" w:space="0" w:color="auto"/>
        <w:left w:val="none" w:sz="0" w:space="0" w:color="auto"/>
        <w:bottom w:val="none" w:sz="0" w:space="0" w:color="auto"/>
        <w:right w:val="none" w:sz="0" w:space="0" w:color="auto"/>
      </w:divBdr>
    </w:div>
    <w:div w:id="864829599">
      <w:bodyDiv w:val="1"/>
      <w:marLeft w:val="0"/>
      <w:marRight w:val="0"/>
      <w:marTop w:val="0"/>
      <w:marBottom w:val="0"/>
      <w:divBdr>
        <w:top w:val="none" w:sz="0" w:space="0" w:color="auto"/>
        <w:left w:val="none" w:sz="0" w:space="0" w:color="auto"/>
        <w:bottom w:val="none" w:sz="0" w:space="0" w:color="auto"/>
        <w:right w:val="none" w:sz="0" w:space="0" w:color="auto"/>
      </w:divBdr>
    </w:div>
    <w:div w:id="894270408">
      <w:bodyDiv w:val="1"/>
      <w:marLeft w:val="0"/>
      <w:marRight w:val="0"/>
      <w:marTop w:val="0"/>
      <w:marBottom w:val="0"/>
      <w:divBdr>
        <w:top w:val="none" w:sz="0" w:space="0" w:color="auto"/>
        <w:left w:val="none" w:sz="0" w:space="0" w:color="auto"/>
        <w:bottom w:val="none" w:sz="0" w:space="0" w:color="auto"/>
        <w:right w:val="none" w:sz="0" w:space="0" w:color="auto"/>
      </w:divBdr>
    </w:div>
    <w:div w:id="909344028">
      <w:bodyDiv w:val="1"/>
      <w:marLeft w:val="0"/>
      <w:marRight w:val="0"/>
      <w:marTop w:val="0"/>
      <w:marBottom w:val="0"/>
      <w:divBdr>
        <w:top w:val="none" w:sz="0" w:space="0" w:color="auto"/>
        <w:left w:val="none" w:sz="0" w:space="0" w:color="auto"/>
        <w:bottom w:val="none" w:sz="0" w:space="0" w:color="auto"/>
        <w:right w:val="none" w:sz="0" w:space="0" w:color="auto"/>
      </w:divBdr>
    </w:div>
    <w:div w:id="930358621">
      <w:bodyDiv w:val="1"/>
      <w:marLeft w:val="0"/>
      <w:marRight w:val="0"/>
      <w:marTop w:val="0"/>
      <w:marBottom w:val="0"/>
      <w:divBdr>
        <w:top w:val="none" w:sz="0" w:space="0" w:color="auto"/>
        <w:left w:val="none" w:sz="0" w:space="0" w:color="auto"/>
        <w:bottom w:val="none" w:sz="0" w:space="0" w:color="auto"/>
        <w:right w:val="none" w:sz="0" w:space="0" w:color="auto"/>
      </w:divBdr>
    </w:div>
    <w:div w:id="1002466927">
      <w:bodyDiv w:val="1"/>
      <w:marLeft w:val="0"/>
      <w:marRight w:val="0"/>
      <w:marTop w:val="0"/>
      <w:marBottom w:val="0"/>
      <w:divBdr>
        <w:top w:val="none" w:sz="0" w:space="0" w:color="auto"/>
        <w:left w:val="none" w:sz="0" w:space="0" w:color="auto"/>
        <w:bottom w:val="none" w:sz="0" w:space="0" w:color="auto"/>
        <w:right w:val="none" w:sz="0" w:space="0" w:color="auto"/>
      </w:divBdr>
    </w:div>
    <w:div w:id="1005788469">
      <w:bodyDiv w:val="1"/>
      <w:marLeft w:val="0"/>
      <w:marRight w:val="0"/>
      <w:marTop w:val="0"/>
      <w:marBottom w:val="0"/>
      <w:divBdr>
        <w:top w:val="none" w:sz="0" w:space="0" w:color="auto"/>
        <w:left w:val="none" w:sz="0" w:space="0" w:color="auto"/>
        <w:bottom w:val="none" w:sz="0" w:space="0" w:color="auto"/>
        <w:right w:val="none" w:sz="0" w:space="0" w:color="auto"/>
      </w:divBdr>
    </w:div>
    <w:div w:id="1033337760">
      <w:bodyDiv w:val="1"/>
      <w:marLeft w:val="0"/>
      <w:marRight w:val="0"/>
      <w:marTop w:val="0"/>
      <w:marBottom w:val="0"/>
      <w:divBdr>
        <w:top w:val="none" w:sz="0" w:space="0" w:color="auto"/>
        <w:left w:val="none" w:sz="0" w:space="0" w:color="auto"/>
        <w:bottom w:val="none" w:sz="0" w:space="0" w:color="auto"/>
        <w:right w:val="none" w:sz="0" w:space="0" w:color="auto"/>
      </w:divBdr>
    </w:div>
    <w:div w:id="1367174430">
      <w:bodyDiv w:val="1"/>
      <w:marLeft w:val="0"/>
      <w:marRight w:val="0"/>
      <w:marTop w:val="0"/>
      <w:marBottom w:val="0"/>
      <w:divBdr>
        <w:top w:val="none" w:sz="0" w:space="0" w:color="auto"/>
        <w:left w:val="none" w:sz="0" w:space="0" w:color="auto"/>
        <w:bottom w:val="none" w:sz="0" w:space="0" w:color="auto"/>
        <w:right w:val="none" w:sz="0" w:space="0" w:color="auto"/>
      </w:divBdr>
    </w:div>
    <w:div w:id="1391148570">
      <w:bodyDiv w:val="1"/>
      <w:marLeft w:val="0"/>
      <w:marRight w:val="0"/>
      <w:marTop w:val="0"/>
      <w:marBottom w:val="0"/>
      <w:divBdr>
        <w:top w:val="none" w:sz="0" w:space="0" w:color="auto"/>
        <w:left w:val="none" w:sz="0" w:space="0" w:color="auto"/>
        <w:bottom w:val="none" w:sz="0" w:space="0" w:color="auto"/>
        <w:right w:val="none" w:sz="0" w:space="0" w:color="auto"/>
      </w:divBdr>
      <w:divsChild>
        <w:div w:id="602110593">
          <w:marLeft w:val="0"/>
          <w:marRight w:val="0"/>
          <w:marTop w:val="0"/>
          <w:marBottom w:val="0"/>
          <w:divBdr>
            <w:top w:val="none" w:sz="0" w:space="0" w:color="auto"/>
            <w:left w:val="none" w:sz="0" w:space="0" w:color="auto"/>
            <w:bottom w:val="none" w:sz="0" w:space="0" w:color="auto"/>
            <w:right w:val="none" w:sz="0" w:space="0" w:color="auto"/>
          </w:divBdr>
          <w:divsChild>
            <w:div w:id="1825584132">
              <w:marLeft w:val="0"/>
              <w:marRight w:val="0"/>
              <w:marTop w:val="0"/>
              <w:marBottom w:val="0"/>
              <w:divBdr>
                <w:top w:val="none" w:sz="0" w:space="0" w:color="auto"/>
                <w:left w:val="none" w:sz="0" w:space="0" w:color="auto"/>
                <w:bottom w:val="none" w:sz="0" w:space="0" w:color="auto"/>
                <w:right w:val="none" w:sz="0" w:space="0" w:color="auto"/>
              </w:divBdr>
              <w:divsChild>
                <w:div w:id="15368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031042">
      <w:bodyDiv w:val="1"/>
      <w:marLeft w:val="0"/>
      <w:marRight w:val="0"/>
      <w:marTop w:val="0"/>
      <w:marBottom w:val="0"/>
      <w:divBdr>
        <w:top w:val="none" w:sz="0" w:space="0" w:color="auto"/>
        <w:left w:val="none" w:sz="0" w:space="0" w:color="auto"/>
        <w:bottom w:val="none" w:sz="0" w:space="0" w:color="auto"/>
        <w:right w:val="none" w:sz="0" w:space="0" w:color="auto"/>
      </w:divBdr>
    </w:div>
    <w:div w:id="1530141041">
      <w:bodyDiv w:val="1"/>
      <w:marLeft w:val="0"/>
      <w:marRight w:val="0"/>
      <w:marTop w:val="0"/>
      <w:marBottom w:val="0"/>
      <w:divBdr>
        <w:top w:val="none" w:sz="0" w:space="0" w:color="auto"/>
        <w:left w:val="none" w:sz="0" w:space="0" w:color="auto"/>
        <w:bottom w:val="none" w:sz="0" w:space="0" w:color="auto"/>
        <w:right w:val="none" w:sz="0" w:space="0" w:color="auto"/>
      </w:divBdr>
    </w:div>
    <w:div w:id="1533567304">
      <w:bodyDiv w:val="1"/>
      <w:marLeft w:val="0"/>
      <w:marRight w:val="0"/>
      <w:marTop w:val="0"/>
      <w:marBottom w:val="0"/>
      <w:divBdr>
        <w:top w:val="none" w:sz="0" w:space="0" w:color="auto"/>
        <w:left w:val="none" w:sz="0" w:space="0" w:color="auto"/>
        <w:bottom w:val="none" w:sz="0" w:space="0" w:color="auto"/>
        <w:right w:val="none" w:sz="0" w:space="0" w:color="auto"/>
      </w:divBdr>
      <w:divsChild>
        <w:div w:id="1058088695">
          <w:marLeft w:val="1080"/>
          <w:marRight w:val="0"/>
          <w:marTop w:val="100"/>
          <w:marBottom w:val="0"/>
          <w:divBdr>
            <w:top w:val="none" w:sz="0" w:space="0" w:color="auto"/>
            <w:left w:val="none" w:sz="0" w:space="0" w:color="auto"/>
            <w:bottom w:val="none" w:sz="0" w:space="0" w:color="auto"/>
            <w:right w:val="none" w:sz="0" w:space="0" w:color="auto"/>
          </w:divBdr>
        </w:div>
      </w:divsChild>
    </w:div>
    <w:div w:id="1534001878">
      <w:bodyDiv w:val="1"/>
      <w:marLeft w:val="0"/>
      <w:marRight w:val="0"/>
      <w:marTop w:val="0"/>
      <w:marBottom w:val="0"/>
      <w:divBdr>
        <w:top w:val="none" w:sz="0" w:space="0" w:color="auto"/>
        <w:left w:val="none" w:sz="0" w:space="0" w:color="auto"/>
        <w:bottom w:val="none" w:sz="0" w:space="0" w:color="auto"/>
        <w:right w:val="none" w:sz="0" w:space="0" w:color="auto"/>
      </w:divBdr>
    </w:div>
    <w:div w:id="1536386127">
      <w:bodyDiv w:val="1"/>
      <w:marLeft w:val="0"/>
      <w:marRight w:val="0"/>
      <w:marTop w:val="0"/>
      <w:marBottom w:val="0"/>
      <w:divBdr>
        <w:top w:val="none" w:sz="0" w:space="0" w:color="auto"/>
        <w:left w:val="none" w:sz="0" w:space="0" w:color="auto"/>
        <w:bottom w:val="none" w:sz="0" w:space="0" w:color="auto"/>
        <w:right w:val="none" w:sz="0" w:space="0" w:color="auto"/>
      </w:divBdr>
    </w:div>
    <w:div w:id="1726024988">
      <w:bodyDiv w:val="1"/>
      <w:marLeft w:val="0"/>
      <w:marRight w:val="0"/>
      <w:marTop w:val="0"/>
      <w:marBottom w:val="0"/>
      <w:divBdr>
        <w:top w:val="none" w:sz="0" w:space="0" w:color="auto"/>
        <w:left w:val="none" w:sz="0" w:space="0" w:color="auto"/>
        <w:bottom w:val="none" w:sz="0" w:space="0" w:color="auto"/>
        <w:right w:val="none" w:sz="0" w:space="0" w:color="auto"/>
      </w:divBdr>
    </w:div>
    <w:div w:id="1757170536">
      <w:bodyDiv w:val="1"/>
      <w:marLeft w:val="0"/>
      <w:marRight w:val="0"/>
      <w:marTop w:val="0"/>
      <w:marBottom w:val="0"/>
      <w:divBdr>
        <w:top w:val="none" w:sz="0" w:space="0" w:color="auto"/>
        <w:left w:val="none" w:sz="0" w:space="0" w:color="auto"/>
        <w:bottom w:val="none" w:sz="0" w:space="0" w:color="auto"/>
        <w:right w:val="none" w:sz="0" w:space="0" w:color="auto"/>
      </w:divBdr>
    </w:div>
    <w:div w:id="1844588926">
      <w:bodyDiv w:val="1"/>
      <w:marLeft w:val="0"/>
      <w:marRight w:val="0"/>
      <w:marTop w:val="0"/>
      <w:marBottom w:val="0"/>
      <w:divBdr>
        <w:top w:val="none" w:sz="0" w:space="0" w:color="auto"/>
        <w:left w:val="none" w:sz="0" w:space="0" w:color="auto"/>
        <w:bottom w:val="none" w:sz="0" w:space="0" w:color="auto"/>
        <w:right w:val="none" w:sz="0" w:space="0" w:color="auto"/>
      </w:divBdr>
    </w:div>
    <w:div w:id="1865095396">
      <w:bodyDiv w:val="1"/>
      <w:marLeft w:val="0"/>
      <w:marRight w:val="0"/>
      <w:marTop w:val="0"/>
      <w:marBottom w:val="0"/>
      <w:divBdr>
        <w:top w:val="none" w:sz="0" w:space="0" w:color="auto"/>
        <w:left w:val="none" w:sz="0" w:space="0" w:color="auto"/>
        <w:bottom w:val="none" w:sz="0" w:space="0" w:color="auto"/>
        <w:right w:val="none" w:sz="0" w:space="0" w:color="auto"/>
      </w:divBdr>
    </w:div>
    <w:div w:id="19753334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ag.gov.au/sites/default/files/communique/20170609-communique.pdf"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econversation.com/%20imprisonment-and-its-alternatives-what-do-the-public-really-think-4037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heconversation.com/tougher-national-parole-laws-wont-end-the-violence-78985" TargetMode="External"/><Relationship Id="rId4" Type="http://schemas.openxmlformats.org/officeDocument/2006/relationships/settings" Target="settings.xml"/><Relationship Id="rId9" Type="http://schemas.openxmlformats.org/officeDocument/2006/relationships/hyperlink" Target="http://www.theage.com.au/federal-politics/political-news/malcolm-turnbull-pushes-for-national-parole-laws-to-keep-terror-offenders-locked-up-20170606-gwlyzw.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7B627-C1B7-457B-B84B-72930203D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6562</Words>
  <Characters>37405</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Lorana Bartels</dc:creator>
  <cp:keywords/>
  <dc:description/>
  <cp:lastModifiedBy>Erin Gallant</cp:lastModifiedBy>
  <cp:revision>5</cp:revision>
  <cp:lastPrinted>2017-06-29T02:12:00Z</cp:lastPrinted>
  <dcterms:created xsi:type="dcterms:W3CDTF">2017-09-13T06:08:00Z</dcterms:created>
  <dcterms:modified xsi:type="dcterms:W3CDTF">2021-08-09T05:07:00Z</dcterms:modified>
</cp:coreProperties>
</file>