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F756C7" w14:textId="2BDB85A8" w:rsidR="000B40D3" w:rsidRDefault="00621537" w:rsidP="000B40D3">
      <w:pPr>
        <w:spacing w:line="480" w:lineRule="auto"/>
        <w:jc w:val="center"/>
        <w:rPr>
          <w:rFonts w:cs="Times New Roman"/>
          <w:b/>
          <w:sz w:val="24"/>
          <w:szCs w:val="24"/>
        </w:rPr>
      </w:pPr>
      <w:r w:rsidRPr="00621537">
        <w:rPr>
          <w:rFonts w:cs="Times New Roman"/>
          <w:b/>
          <w:sz w:val="24"/>
          <w:szCs w:val="24"/>
        </w:rPr>
        <w:t>MYTHOGRAPHICAL TOPOGRAPHY, TEXTUAL MATERIALITY, AND THE (DIS)ORDERING OF MYTH: THE CASE OF ANTONINUS LIBERALIS</w:t>
      </w:r>
    </w:p>
    <w:p w14:paraId="4DC8B695" w14:textId="77777777" w:rsidR="00621537" w:rsidRDefault="00621537" w:rsidP="000B40D3">
      <w:pPr>
        <w:spacing w:line="480" w:lineRule="auto"/>
        <w:jc w:val="center"/>
        <w:rPr>
          <w:rFonts w:cs="Times New Roman"/>
          <w:sz w:val="24"/>
          <w:szCs w:val="24"/>
          <w:lang w:val="en-GB"/>
        </w:rPr>
      </w:pPr>
      <w:r>
        <w:rPr>
          <w:rFonts w:cs="Times New Roman"/>
          <w:sz w:val="24"/>
          <w:szCs w:val="24"/>
          <w:lang w:val="en-GB"/>
        </w:rPr>
        <w:t>CHARLES DELATTRE AND GRETA HAWES</w:t>
      </w:r>
    </w:p>
    <w:p w14:paraId="28114500" w14:textId="7C98A774" w:rsidR="00621537" w:rsidRPr="00621537" w:rsidRDefault="00491995" w:rsidP="00621537">
      <w:pPr>
        <w:spacing w:line="480" w:lineRule="auto"/>
        <w:jc w:val="center"/>
        <w:rPr>
          <w:rFonts w:cs="Times New Roman"/>
          <w:i/>
          <w:sz w:val="24"/>
          <w:szCs w:val="24"/>
          <w:lang w:val="en-GB"/>
        </w:rPr>
      </w:pPr>
      <w:r>
        <w:rPr>
          <w:rFonts w:cs="Times New Roman"/>
          <w:i/>
          <w:sz w:val="24"/>
          <w:szCs w:val="24"/>
          <w:lang w:val="en-GB"/>
        </w:rPr>
        <w:t>Université de Lille</w:t>
      </w:r>
      <w:r w:rsidR="00E20602">
        <w:rPr>
          <w:rFonts w:cs="Times New Roman"/>
          <w:i/>
          <w:sz w:val="24"/>
          <w:szCs w:val="24"/>
          <w:lang w:val="en-GB"/>
        </w:rPr>
        <w:t xml:space="preserve"> and Australian National University</w:t>
      </w:r>
      <w:r w:rsidR="00621537">
        <w:rPr>
          <w:rStyle w:val="FootnoteReference"/>
          <w:rFonts w:cs="Times New Roman"/>
          <w:i/>
          <w:sz w:val="24"/>
          <w:szCs w:val="24"/>
          <w:lang w:val="en-GB"/>
        </w:rPr>
        <w:footnoteReference w:customMarkFollows="1" w:id="1"/>
        <w:t>*</w:t>
      </w:r>
    </w:p>
    <w:p w14:paraId="3990E6CB" w14:textId="77777777" w:rsidR="00621537" w:rsidRDefault="00621537" w:rsidP="000B40D3">
      <w:pPr>
        <w:spacing w:line="480" w:lineRule="auto"/>
        <w:jc w:val="center"/>
        <w:rPr>
          <w:rFonts w:cs="Times New Roman"/>
          <w:sz w:val="24"/>
          <w:szCs w:val="24"/>
          <w:lang w:val="en-GB"/>
        </w:rPr>
      </w:pPr>
    </w:p>
    <w:p w14:paraId="06F2D2C4" w14:textId="77777777" w:rsidR="000B40D3" w:rsidRPr="00621537" w:rsidRDefault="00621537" w:rsidP="000B40D3">
      <w:pPr>
        <w:spacing w:before="240" w:line="480" w:lineRule="auto"/>
        <w:ind w:left="2160"/>
        <w:jc w:val="right"/>
        <w:outlineLvl w:val="0"/>
        <w:rPr>
          <w:rFonts w:cs="Times New Roman"/>
          <w:sz w:val="24"/>
          <w:szCs w:val="24"/>
        </w:rPr>
      </w:pPr>
      <w:r w:rsidRPr="00621537">
        <w:rPr>
          <w:rFonts w:cs="Times New Roman"/>
          <w:sz w:val="24"/>
          <w:szCs w:val="24"/>
        </w:rPr>
        <w:t xml:space="preserve"> </w:t>
      </w:r>
      <w:r w:rsidR="000B40D3" w:rsidRPr="00621537">
        <w:rPr>
          <w:rFonts w:cs="Times New Roman"/>
          <w:sz w:val="24"/>
          <w:szCs w:val="24"/>
        </w:rPr>
        <w:t>‘</w:t>
      </w:r>
      <w:r w:rsidR="000B40D3" w:rsidRPr="00621537">
        <w:rPr>
          <w:rFonts w:cs="Times New Roman"/>
          <w:i/>
          <w:sz w:val="24"/>
          <w:szCs w:val="24"/>
        </w:rPr>
        <w:t>I have often wished that my sentences could be written out as a single line running into the distance so that it would be clear that a sentence is likewise a road and reading is traveling.</w:t>
      </w:r>
      <w:r w:rsidR="000B40D3" w:rsidRPr="00621537">
        <w:rPr>
          <w:rFonts w:cs="Times New Roman"/>
          <w:sz w:val="24"/>
          <w:szCs w:val="24"/>
        </w:rPr>
        <w:t>’</w:t>
      </w:r>
      <w:r w:rsidR="000B40D3" w:rsidRPr="00621537">
        <w:rPr>
          <w:rStyle w:val="FootnoteReference"/>
          <w:rFonts w:cs="Times New Roman"/>
        </w:rPr>
        <w:footnoteReference w:id="2"/>
      </w:r>
    </w:p>
    <w:p w14:paraId="2C8C5497" w14:textId="77777777" w:rsidR="000B40D3" w:rsidRPr="00621537" w:rsidRDefault="000B40D3" w:rsidP="000B40D3">
      <w:pPr>
        <w:spacing w:line="480" w:lineRule="auto"/>
        <w:jc w:val="both"/>
        <w:rPr>
          <w:rFonts w:cs="Times New Roman"/>
          <w:b/>
          <w:sz w:val="24"/>
          <w:szCs w:val="24"/>
        </w:rPr>
      </w:pPr>
    </w:p>
    <w:p w14:paraId="1E95DEDA" w14:textId="77777777" w:rsidR="000B40D3" w:rsidRPr="00621537" w:rsidRDefault="000B40D3" w:rsidP="000B40D3">
      <w:pPr>
        <w:spacing w:line="480" w:lineRule="auto"/>
        <w:jc w:val="both"/>
        <w:rPr>
          <w:rFonts w:cs="Times New Roman"/>
          <w:b/>
          <w:sz w:val="24"/>
          <w:szCs w:val="24"/>
        </w:rPr>
      </w:pPr>
    </w:p>
    <w:p w14:paraId="048B251B" w14:textId="3E27471C" w:rsidR="000B40D3" w:rsidRPr="002B2938" w:rsidRDefault="000B40D3" w:rsidP="000B40D3">
      <w:pPr>
        <w:spacing w:line="480" w:lineRule="auto"/>
        <w:jc w:val="both"/>
        <w:rPr>
          <w:rFonts w:cs="Times New Roman"/>
          <w:b/>
          <w:sz w:val="24"/>
          <w:szCs w:val="24"/>
        </w:rPr>
      </w:pPr>
      <w:r w:rsidRPr="00621537">
        <w:rPr>
          <w:rFonts w:cs="Times New Roman"/>
          <w:b/>
          <w:sz w:val="24"/>
          <w:szCs w:val="24"/>
        </w:rPr>
        <w:t>Abstract:</w:t>
      </w:r>
      <w:r w:rsidR="002B2938">
        <w:rPr>
          <w:rFonts w:cs="Times New Roman"/>
          <w:b/>
          <w:sz w:val="24"/>
          <w:szCs w:val="24"/>
        </w:rPr>
        <w:t xml:space="preserve"> </w:t>
      </w:r>
      <w:r w:rsidRPr="00621537">
        <w:rPr>
          <w:rFonts w:cs="Times New Roman"/>
          <w:sz w:val="24"/>
          <w:szCs w:val="24"/>
        </w:rPr>
        <w:t>This article introduces a new analytical framework, ‘mythographic topography’. This approach recogni</w:t>
      </w:r>
      <w:r w:rsidR="0095698C" w:rsidRPr="00621537">
        <w:rPr>
          <w:rFonts w:cs="Times New Roman"/>
          <w:sz w:val="24"/>
          <w:szCs w:val="24"/>
        </w:rPr>
        <w:t>z</w:t>
      </w:r>
      <w:r w:rsidRPr="00621537">
        <w:rPr>
          <w:rFonts w:cs="Times New Roman"/>
          <w:sz w:val="24"/>
          <w:szCs w:val="24"/>
        </w:rPr>
        <w:t xml:space="preserve">es the materiality of mythographic writing as preserved by the manuscript tradition and the significance of </w:t>
      </w:r>
      <w:r w:rsidR="00E20602">
        <w:rPr>
          <w:rFonts w:cs="Times New Roman"/>
          <w:sz w:val="24"/>
          <w:szCs w:val="24"/>
        </w:rPr>
        <w:t xml:space="preserve">the </w:t>
      </w:r>
      <w:r w:rsidRPr="00621537">
        <w:rPr>
          <w:rFonts w:cs="Times New Roman"/>
          <w:sz w:val="24"/>
          <w:szCs w:val="24"/>
        </w:rPr>
        <w:t>spatial dynamics</w:t>
      </w:r>
      <w:r w:rsidR="00E20602">
        <w:rPr>
          <w:rFonts w:cs="Times New Roman"/>
          <w:sz w:val="24"/>
          <w:szCs w:val="24"/>
        </w:rPr>
        <w:t xml:space="preserve"> it produces</w:t>
      </w:r>
      <w:r w:rsidRPr="00621537">
        <w:rPr>
          <w:rFonts w:cs="Times New Roman"/>
          <w:sz w:val="24"/>
          <w:szCs w:val="24"/>
        </w:rPr>
        <w:t>. Mythographic topography encompasses both the formal properties of textual organi</w:t>
      </w:r>
      <w:r w:rsidR="009C599F" w:rsidRPr="00621537">
        <w:rPr>
          <w:rFonts w:cs="Times New Roman"/>
          <w:sz w:val="24"/>
          <w:szCs w:val="24"/>
        </w:rPr>
        <w:t>z</w:t>
      </w:r>
      <w:r w:rsidRPr="00621537">
        <w:rPr>
          <w:rFonts w:cs="Times New Roman"/>
          <w:sz w:val="24"/>
          <w:szCs w:val="24"/>
        </w:rPr>
        <w:t xml:space="preserve">ation, </w:t>
      </w:r>
      <w:r w:rsidR="00E20602">
        <w:rPr>
          <w:rFonts w:cs="Times New Roman"/>
          <w:sz w:val="24"/>
          <w:szCs w:val="24"/>
        </w:rPr>
        <w:t xml:space="preserve">and </w:t>
      </w:r>
      <w:r w:rsidRPr="00621537">
        <w:rPr>
          <w:rFonts w:cs="Times New Roman"/>
          <w:sz w:val="24"/>
          <w:szCs w:val="24"/>
        </w:rPr>
        <w:t xml:space="preserve">how these shape the reader’s imaginative experience of space and narrative. As an analytical framework, it involves interrogating a text according to three categories (each an ancient meaning of </w:t>
      </w:r>
      <w:r w:rsidRPr="00621537">
        <w:rPr>
          <w:rFonts w:cs="Times New Roman"/>
          <w:i/>
          <w:sz w:val="24"/>
          <w:szCs w:val="24"/>
        </w:rPr>
        <w:t>topos</w:t>
      </w:r>
      <w:r w:rsidRPr="00621537">
        <w:rPr>
          <w:rFonts w:cs="Times New Roman"/>
          <w:sz w:val="24"/>
          <w:szCs w:val="24"/>
        </w:rPr>
        <w:t xml:space="preserve">): its arrangement of textual passages, its use of space and its activation of narrative tropes. Using the </w:t>
      </w:r>
      <w:r w:rsidRPr="00621537">
        <w:rPr>
          <w:rFonts w:cs="Times New Roman"/>
          <w:i/>
          <w:sz w:val="24"/>
          <w:szCs w:val="24"/>
        </w:rPr>
        <w:t xml:space="preserve">Metamorphoses </w:t>
      </w:r>
      <w:r w:rsidRPr="00621537">
        <w:rPr>
          <w:rFonts w:cs="Times New Roman"/>
          <w:sz w:val="24"/>
          <w:szCs w:val="24"/>
        </w:rPr>
        <w:t xml:space="preserve">of Antoninus Liberalis as a case-study, we demonstrate how this text </w:t>
      </w:r>
      <w:r w:rsidRPr="00621537">
        <w:rPr>
          <w:rFonts w:cs="Times New Roman"/>
          <w:sz w:val="24"/>
          <w:szCs w:val="24"/>
        </w:rPr>
        <w:lastRenderedPageBreak/>
        <w:t>requires the reader to consider issues of order, dis-order and re-ordering within a culturally-familiar narrative paradigm.</w:t>
      </w:r>
      <w:r w:rsidR="004F5DA1">
        <w:rPr>
          <w:rFonts w:cs="Times New Roman"/>
          <w:sz w:val="24"/>
          <w:szCs w:val="24"/>
        </w:rPr>
        <w:t xml:space="preserve"> </w:t>
      </w:r>
    </w:p>
    <w:p w14:paraId="691B1EE6" w14:textId="674D64B2" w:rsidR="000B40D3" w:rsidRPr="00621537" w:rsidRDefault="000B40D3" w:rsidP="000B40D3">
      <w:pPr>
        <w:spacing w:line="480" w:lineRule="auto"/>
        <w:jc w:val="both"/>
        <w:rPr>
          <w:rFonts w:cs="Times New Roman"/>
          <w:sz w:val="24"/>
          <w:szCs w:val="24"/>
        </w:rPr>
      </w:pPr>
      <w:r w:rsidRPr="00621537">
        <w:rPr>
          <w:rFonts w:cs="Times New Roman"/>
          <w:b/>
          <w:sz w:val="24"/>
          <w:szCs w:val="24"/>
        </w:rPr>
        <w:t xml:space="preserve">Keywords: </w:t>
      </w:r>
      <w:r w:rsidRPr="00621537">
        <w:rPr>
          <w:rFonts w:cs="Times New Roman"/>
          <w:sz w:val="24"/>
          <w:szCs w:val="24"/>
        </w:rPr>
        <w:t xml:space="preserve">Greek myth, </w:t>
      </w:r>
      <w:r w:rsidR="00621537">
        <w:rPr>
          <w:rFonts w:cs="Times New Roman"/>
          <w:sz w:val="24"/>
          <w:szCs w:val="24"/>
        </w:rPr>
        <w:t>m</w:t>
      </w:r>
      <w:r w:rsidRPr="00621537">
        <w:rPr>
          <w:rFonts w:cs="Times New Roman"/>
          <w:sz w:val="24"/>
          <w:szCs w:val="24"/>
        </w:rPr>
        <w:t xml:space="preserve">ythography, Antoninus Liberalis, </w:t>
      </w:r>
      <w:r w:rsidR="00621537">
        <w:rPr>
          <w:rFonts w:cs="Times New Roman"/>
          <w:sz w:val="24"/>
          <w:szCs w:val="24"/>
        </w:rPr>
        <w:t>c</w:t>
      </w:r>
      <w:r w:rsidRPr="00621537">
        <w:rPr>
          <w:rFonts w:cs="Times New Roman"/>
          <w:sz w:val="24"/>
          <w:szCs w:val="24"/>
        </w:rPr>
        <w:t xml:space="preserve">artography, </w:t>
      </w:r>
      <w:r w:rsidR="00621537">
        <w:rPr>
          <w:rFonts w:cs="Times New Roman"/>
          <w:sz w:val="24"/>
          <w:szCs w:val="24"/>
        </w:rPr>
        <w:t>n</w:t>
      </w:r>
      <w:r w:rsidR="00036D9E">
        <w:rPr>
          <w:rFonts w:cs="Times New Roman"/>
          <w:sz w:val="24"/>
          <w:szCs w:val="24"/>
        </w:rPr>
        <w:t>arrative</w:t>
      </w:r>
      <w:r w:rsidRPr="00621537">
        <w:rPr>
          <w:rFonts w:cs="Times New Roman"/>
          <w:sz w:val="24"/>
          <w:szCs w:val="24"/>
        </w:rPr>
        <w:t xml:space="preserve"> </w:t>
      </w:r>
    </w:p>
    <w:p w14:paraId="63D0EBB0" w14:textId="77777777" w:rsidR="000B40D3" w:rsidRPr="00621537" w:rsidRDefault="000B40D3" w:rsidP="000B40D3">
      <w:pPr>
        <w:spacing w:line="480" w:lineRule="auto"/>
        <w:jc w:val="both"/>
        <w:rPr>
          <w:rFonts w:cs="Times New Roman"/>
          <w:b/>
          <w:sz w:val="24"/>
          <w:szCs w:val="24"/>
        </w:rPr>
      </w:pPr>
    </w:p>
    <w:p w14:paraId="60EEA24A" w14:textId="1874FA6E" w:rsidR="000B40D3" w:rsidRPr="00621537" w:rsidRDefault="00621537" w:rsidP="000B40D3">
      <w:pPr>
        <w:spacing w:line="480" w:lineRule="auto"/>
        <w:jc w:val="both"/>
        <w:rPr>
          <w:rFonts w:cs="Times New Roman"/>
          <w:b/>
          <w:sz w:val="24"/>
          <w:szCs w:val="24"/>
        </w:rPr>
      </w:pPr>
      <w:r>
        <w:rPr>
          <w:rFonts w:cs="Times New Roman"/>
          <w:b/>
          <w:sz w:val="24"/>
          <w:szCs w:val="24"/>
        </w:rPr>
        <w:t>I</w:t>
      </w:r>
      <w:r w:rsidR="000B40D3" w:rsidRPr="00621537">
        <w:rPr>
          <w:rFonts w:cs="Times New Roman"/>
          <w:b/>
          <w:sz w:val="24"/>
          <w:szCs w:val="24"/>
        </w:rPr>
        <w:t>. Introduction</w:t>
      </w:r>
    </w:p>
    <w:p w14:paraId="3DD4EB8A" w14:textId="17057034" w:rsidR="000B40D3" w:rsidRPr="00621537" w:rsidRDefault="000B40D3" w:rsidP="000B40D3">
      <w:pPr>
        <w:spacing w:line="480" w:lineRule="auto"/>
        <w:jc w:val="both"/>
        <w:rPr>
          <w:rFonts w:cs="Times New Roman"/>
          <w:sz w:val="24"/>
          <w:szCs w:val="24"/>
        </w:rPr>
      </w:pPr>
      <w:r w:rsidRPr="00621537">
        <w:rPr>
          <w:rFonts w:cs="Times New Roman"/>
          <w:sz w:val="24"/>
          <w:szCs w:val="24"/>
        </w:rPr>
        <w:t>Greek mythography as we have it was born written; its unapologetically textual qualities distinguish it as a form of ancient storytelling.</w:t>
      </w:r>
      <w:r w:rsidRPr="00621537">
        <w:rPr>
          <w:rStyle w:val="FootnoteReference"/>
          <w:rFonts w:cs="Times New Roman"/>
          <w:sz w:val="24"/>
          <w:szCs w:val="24"/>
        </w:rPr>
        <w:t xml:space="preserve"> </w:t>
      </w:r>
      <w:r w:rsidRPr="00621537">
        <w:rPr>
          <w:rFonts w:cs="Times New Roman"/>
          <w:sz w:val="24"/>
          <w:szCs w:val="24"/>
        </w:rPr>
        <w:t xml:space="preserve">While ancient use of the term </w:t>
      </w:r>
      <w:r w:rsidRPr="00621537">
        <w:rPr>
          <w:rFonts w:cs="Times New Roman"/>
          <w:i/>
          <w:iCs/>
          <w:sz w:val="24"/>
          <w:szCs w:val="24"/>
        </w:rPr>
        <w:t>m</w:t>
      </w:r>
      <w:r w:rsidR="00621537">
        <w:rPr>
          <w:rFonts w:cs="Times New Roman"/>
          <w:i/>
          <w:iCs/>
          <w:sz w:val="24"/>
          <w:szCs w:val="24"/>
        </w:rPr>
        <w:t>u</w:t>
      </w:r>
      <w:r w:rsidRPr="00621537">
        <w:rPr>
          <w:rFonts w:cs="Times New Roman"/>
          <w:i/>
          <w:iCs/>
          <w:sz w:val="24"/>
          <w:szCs w:val="24"/>
        </w:rPr>
        <w:t xml:space="preserve">thographos </w:t>
      </w:r>
      <w:r w:rsidRPr="00621537">
        <w:rPr>
          <w:rFonts w:cs="Times New Roman"/>
          <w:sz w:val="24"/>
          <w:szCs w:val="24"/>
        </w:rPr>
        <w:t>does not point exclusively to a particular genre of writing, we can from our vantage point identify a corpus of prose mythographic texts with similar characteristics.</w:t>
      </w:r>
      <w:r w:rsidRPr="00621537">
        <w:rPr>
          <w:rStyle w:val="FootnoteReference"/>
          <w:rFonts w:cs="Times New Roman"/>
        </w:rPr>
        <w:footnoteReference w:id="3"/>
      </w:r>
      <w:r w:rsidRPr="00621537">
        <w:rPr>
          <w:rFonts w:cs="Times New Roman"/>
          <w:sz w:val="24"/>
          <w:szCs w:val="24"/>
        </w:rPr>
        <w:t xml:space="preserve"> This corpus begins with Hecataeus and the ‘Early Greek Mythographers’ collected by Robert Fowler, and extends both to the rationalistic handbooks of Palaephatus and Heraclitus and to the narrative collections of the Hellenistic and Imperial periods: the capacious </w:t>
      </w:r>
      <w:r w:rsidRPr="00621537">
        <w:rPr>
          <w:rFonts w:cs="Times New Roman"/>
          <w:i/>
          <w:iCs/>
          <w:sz w:val="24"/>
          <w:szCs w:val="24"/>
        </w:rPr>
        <w:t xml:space="preserve">Bibliotheca </w:t>
      </w:r>
      <w:r w:rsidRPr="00621537">
        <w:rPr>
          <w:rFonts w:cs="Times New Roman"/>
          <w:sz w:val="24"/>
          <w:szCs w:val="24"/>
        </w:rPr>
        <w:t xml:space="preserve">of Apollodorus and </w:t>
      </w:r>
      <w:r w:rsidRPr="00621537">
        <w:rPr>
          <w:rFonts w:cs="Times New Roman"/>
          <w:i/>
          <w:iCs/>
          <w:sz w:val="24"/>
          <w:szCs w:val="24"/>
        </w:rPr>
        <w:t>Fabulae</w:t>
      </w:r>
      <w:r w:rsidRPr="00621537">
        <w:rPr>
          <w:rFonts w:cs="Times New Roman"/>
          <w:sz w:val="24"/>
          <w:szCs w:val="24"/>
        </w:rPr>
        <w:t xml:space="preserve"> of Hyginus and the thematic collections of Conon, Parthenius, Eratosthenes, Ps-Plutarch, Antoninus Liberalis and others.</w:t>
      </w:r>
      <w:r w:rsidRPr="00621537">
        <w:rPr>
          <w:rStyle w:val="FootnoteReference"/>
          <w:rFonts w:cs="Times New Roman"/>
        </w:rPr>
        <w:footnoteReference w:id="4"/>
      </w:r>
      <w:r w:rsidRPr="00621537">
        <w:rPr>
          <w:rFonts w:cs="Times New Roman"/>
          <w:sz w:val="24"/>
          <w:szCs w:val="24"/>
        </w:rPr>
        <w:t xml:space="preserve"> Unifying this corpus is the ‘mythographic impulse’ – the desire to treat myth as an ontologically-discrete object of study and to bring some form of systematic order to it</w:t>
      </w:r>
      <w:r w:rsidRPr="00621537">
        <w:rPr>
          <w:rStyle w:val="FootnoteReference"/>
          <w:rFonts w:cs="Times New Roman"/>
        </w:rPr>
        <w:footnoteReference w:id="5"/>
      </w:r>
      <w:r w:rsidRPr="00621537">
        <w:rPr>
          <w:rFonts w:cs="Times New Roman"/>
          <w:sz w:val="24"/>
          <w:szCs w:val="24"/>
        </w:rPr>
        <w:t xml:space="preserve"> – and a ‘stripped down …</w:t>
      </w:r>
      <w:r w:rsidR="00595239" w:rsidRPr="00621537">
        <w:rPr>
          <w:rFonts w:cs="Times New Roman"/>
          <w:sz w:val="24"/>
          <w:szCs w:val="24"/>
        </w:rPr>
        <w:t xml:space="preserve"> </w:t>
      </w:r>
      <w:r w:rsidRPr="00621537">
        <w:rPr>
          <w:rFonts w:cs="Times New Roman"/>
          <w:sz w:val="24"/>
          <w:szCs w:val="24"/>
        </w:rPr>
        <w:t>just the facts’ style of prose narration.</w:t>
      </w:r>
      <w:r w:rsidRPr="00621537">
        <w:rPr>
          <w:rStyle w:val="FootnoteReference"/>
          <w:rFonts w:cs="Times New Roman"/>
        </w:rPr>
        <w:footnoteReference w:id="6"/>
      </w:r>
      <w:r w:rsidRPr="00621537">
        <w:rPr>
          <w:rFonts w:cs="Times New Roman"/>
          <w:sz w:val="24"/>
          <w:szCs w:val="24"/>
        </w:rPr>
        <w:t xml:space="preserve"> Both these features attest the textual outlook of mythography; and this outlook has seen it kept at arm’s length from traditions ‘de la bouche et de l’oreille’ so long treated by near-consensus as the sole authentic repository of Greek myth.</w:t>
      </w:r>
      <w:r w:rsidRPr="00621537">
        <w:rPr>
          <w:rStyle w:val="FootnoteReference"/>
          <w:rFonts w:cs="Times New Roman"/>
        </w:rPr>
        <w:footnoteReference w:id="7"/>
      </w:r>
      <w:r w:rsidRPr="00621537">
        <w:rPr>
          <w:rFonts w:cs="Times New Roman"/>
          <w:sz w:val="24"/>
          <w:szCs w:val="24"/>
        </w:rPr>
        <w:t xml:space="preserve"> In post-structuralist scholarship, mythographers were excluded from the realm of authentic ancient storytellers. Most influential was Marcel Detienne’s treatment of early mythography as redolent of an Enlightenment attitude </w:t>
      </w:r>
      <w:r w:rsidRPr="00621537">
        <w:rPr>
          <w:rFonts w:cs="Times New Roman"/>
          <w:i/>
          <w:iCs/>
          <w:sz w:val="24"/>
          <w:szCs w:val="24"/>
        </w:rPr>
        <w:t xml:space="preserve">avant la lettre </w:t>
      </w:r>
      <w:r w:rsidRPr="00621537">
        <w:rPr>
          <w:rFonts w:cs="Times New Roman"/>
          <w:sz w:val="24"/>
          <w:szCs w:val="24"/>
        </w:rPr>
        <w:t>which imposed intellectualist, second-order commentary onto ‘les histoires de la tribu’.</w:t>
      </w:r>
      <w:r w:rsidRPr="00621537">
        <w:rPr>
          <w:rStyle w:val="FootnoteReference"/>
          <w:rFonts w:cs="Times New Roman"/>
        </w:rPr>
        <w:footnoteReference w:id="8"/>
      </w:r>
      <w:r w:rsidRPr="00621537">
        <w:rPr>
          <w:rFonts w:cs="Times New Roman"/>
          <w:sz w:val="24"/>
          <w:szCs w:val="24"/>
        </w:rPr>
        <w:t xml:space="preserve"> For Claude Calame, the criterion for excision was rather the mythographers’ lack of (poetic) creativity: without a communal, performative mentality, they reduced to ‘skeletons’ stories ‘lifted out of the many diverse forms of expression’.</w:t>
      </w:r>
      <w:r w:rsidRPr="00621537">
        <w:rPr>
          <w:rStyle w:val="FootnoteReference"/>
          <w:rFonts w:cs="Times New Roman"/>
        </w:rPr>
        <w:footnoteReference w:id="9"/>
      </w:r>
      <w:r w:rsidRPr="00621537">
        <w:rPr>
          <w:rFonts w:cs="Times New Roman"/>
          <w:sz w:val="24"/>
          <w:szCs w:val="24"/>
        </w:rPr>
        <w:t xml:space="preserve"> And in spite of the flourishing body of scholarship that has brought new appreciation to mythographers over the past decade, this attitude persists.</w:t>
      </w:r>
      <w:r w:rsidRPr="00621537">
        <w:rPr>
          <w:rFonts w:cs="Times New Roman"/>
          <w:sz w:val="24"/>
          <w:szCs w:val="24"/>
          <w:lang w:val="en-GB"/>
        </w:rPr>
        <w:t xml:space="preserve"> Thus, for William Hansen, ‘</w:t>
      </w:r>
      <w:r w:rsidR="00320DFE">
        <w:rPr>
          <w:rFonts w:cs="Times New Roman"/>
          <w:sz w:val="24"/>
          <w:szCs w:val="24"/>
          <w:lang w:val="en-GB"/>
        </w:rPr>
        <w:t>T</w:t>
      </w:r>
      <w:r w:rsidRPr="00621537">
        <w:rPr>
          <w:rFonts w:cs="Times New Roman"/>
          <w:sz w:val="24"/>
          <w:szCs w:val="24"/>
          <w:lang w:val="en-GB"/>
        </w:rPr>
        <w:t>he real Greek mythology’ was ‘traditional, mostly oral stories … that circulated among ancient speakers of the Greek language</w:t>
      </w:r>
      <w:r w:rsidR="00320DFE">
        <w:rPr>
          <w:rFonts w:cs="Times New Roman"/>
          <w:sz w:val="24"/>
          <w:szCs w:val="24"/>
          <w:lang w:val="en-GB"/>
        </w:rPr>
        <w:t>.</w:t>
      </w:r>
      <w:r w:rsidRPr="00621537">
        <w:rPr>
          <w:rFonts w:cs="Times New Roman"/>
          <w:sz w:val="24"/>
          <w:szCs w:val="24"/>
          <w:lang w:val="en-GB"/>
        </w:rPr>
        <w:t>’ By contrast, mythography ‘packaged’ these, converting ‘a huge and slippery mass fantasy into a manageable corpus of unchanging stories’ which ‘can be accommodated comfortably within the compass of a single printed volume’</w:t>
      </w:r>
      <w:r w:rsidR="00320DFE">
        <w:rPr>
          <w:rFonts w:cs="Times New Roman"/>
          <w:sz w:val="24"/>
          <w:szCs w:val="24"/>
          <w:lang w:val="en-GB"/>
        </w:rPr>
        <w:t>.</w:t>
      </w:r>
      <w:r w:rsidRPr="00621537">
        <w:rPr>
          <w:rStyle w:val="FootnoteReference"/>
          <w:rFonts w:cs="Times New Roman"/>
        </w:rPr>
        <w:footnoteReference w:id="10"/>
      </w:r>
      <w:r w:rsidRPr="00621537">
        <w:rPr>
          <w:rFonts w:cs="Times New Roman"/>
          <w:sz w:val="24"/>
          <w:szCs w:val="24"/>
          <w:lang w:val="en-GB"/>
        </w:rPr>
        <w:t xml:space="preserve"> Likewise,</w:t>
      </w:r>
      <w:r w:rsidRPr="00621537">
        <w:rPr>
          <w:rFonts w:cs="Times New Roman"/>
          <w:sz w:val="24"/>
          <w:szCs w:val="24"/>
        </w:rPr>
        <w:t xml:space="preserve"> Sarah Iles Johnston, insisting that stories should ‘entertain and engage as well as inform’ again puts mythographers to one side since they ‘have not preserved the myths themselves …</w:t>
      </w:r>
      <w:r w:rsidR="00595239" w:rsidRPr="00621537">
        <w:rPr>
          <w:rFonts w:cs="Times New Roman"/>
          <w:sz w:val="24"/>
          <w:szCs w:val="24"/>
        </w:rPr>
        <w:t xml:space="preserve"> </w:t>
      </w:r>
      <w:r w:rsidRPr="00621537">
        <w:rPr>
          <w:rFonts w:cs="Times New Roman"/>
          <w:sz w:val="24"/>
          <w:szCs w:val="24"/>
        </w:rPr>
        <w:t xml:space="preserve">They do not </w:t>
      </w:r>
      <w:r w:rsidRPr="00621537">
        <w:rPr>
          <w:rFonts w:cs="Times New Roman"/>
          <w:i/>
          <w:iCs/>
          <w:sz w:val="24"/>
          <w:szCs w:val="24"/>
        </w:rPr>
        <w:t xml:space="preserve">tell </w:t>
      </w:r>
      <w:r w:rsidRPr="00621537">
        <w:rPr>
          <w:rFonts w:cs="Times New Roman"/>
          <w:sz w:val="24"/>
          <w:szCs w:val="24"/>
        </w:rPr>
        <w:t xml:space="preserve">stories; they </w:t>
      </w:r>
      <w:r w:rsidRPr="00621537">
        <w:rPr>
          <w:rFonts w:cs="Times New Roman"/>
          <w:i/>
          <w:iCs/>
          <w:sz w:val="24"/>
          <w:szCs w:val="24"/>
        </w:rPr>
        <w:t xml:space="preserve">summarize </w:t>
      </w:r>
      <w:r w:rsidRPr="00621537">
        <w:rPr>
          <w:rFonts w:cs="Times New Roman"/>
          <w:sz w:val="24"/>
          <w:szCs w:val="24"/>
        </w:rPr>
        <w:t>stories</w:t>
      </w:r>
      <w:r w:rsidR="00BF1391" w:rsidRPr="00621537">
        <w:rPr>
          <w:rFonts w:cs="Times New Roman"/>
          <w:sz w:val="24"/>
          <w:szCs w:val="24"/>
        </w:rPr>
        <w:t>.</w:t>
      </w:r>
      <w:r w:rsidRPr="00621537">
        <w:rPr>
          <w:rFonts w:cs="Times New Roman"/>
          <w:sz w:val="24"/>
          <w:szCs w:val="24"/>
        </w:rPr>
        <w:t>’</w:t>
      </w:r>
      <w:r w:rsidRPr="00621537">
        <w:rPr>
          <w:rStyle w:val="FootnoteReference"/>
          <w:rFonts w:cs="Times New Roman"/>
        </w:rPr>
        <w:footnoteReference w:id="11"/>
      </w:r>
      <w:r w:rsidRPr="00621537">
        <w:rPr>
          <w:rFonts w:cs="Times New Roman"/>
          <w:sz w:val="24"/>
          <w:szCs w:val="24"/>
        </w:rPr>
        <w:t xml:space="preserve"> In part, such prejudices flourish precisely because</w:t>
      </w:r>
      <w:r w:rsidRPr="00621537">
        <w:rPr>
          <w:rFonts w:cs="Times New Roman"/>
          <w:i/>
          <w:sz w:val="24"/>
          <w:szCs w:val="24"/>
        </w:rPr>
        <w:t xml:space="preserve"> </w:t>
      </w:r>
      <w:r w:rsidRPr="00621537">
        <w:rPr>
          <w:rFonts w:cs="Times New Roman"/>
          <w:sz w:val="24"/>
          <w:szCs w:val="24"/>
        </w:rPr>
        <w:t>we over-simplify and underestimate mythography when we attribute to it first and foremost a ‘just the facts’ approach. What recent scholarship has shown is that mythographers differ markedly amongst themselves</w:t>
      </w:r>
      <w:r w:rsidRPr="00621537">
        <w:rPr>
          <w:rStyle w:val="FootnoteReference"/>
          <w:rFonts w:cs="Times New Roman"/>
        </w:rPr>
        <w:footnoteReference w:id="12"/>
      </w:r>
      <w:r w:rsidRPr="00621537">
        <w:rPr>
          <w:rFonts w:cs="Times New Roman"/>
          <w:sz w:val="24"/>
          <w:szCs w:val="24"/>
        </w:rPr>
        <w:t xml:space="preserve"> and that some deploy intertextual devices and elaborate vocabulary in a quite sophisticated self-awareness of their – and their narratives’ – place within the canon of storytelling authors. For this very reason, we need a new way of revealing what these texts in fact do. </w:t>
      </w:r>
    </w:p>
    <w:p w14:paraId="0512793E" w14:textId="46AE28AC" w:rsidR="000B40D3" w:rsidRPr="00621537" w:rsidRDefault="004810EF" w:rsidP="000B40D3">
      <w:pPr>
        <w:spacing w:line="480" w:lineRule="auto"/>
        <w:jc w:val="both"/>
        <w:rPr>
          <w:rFonts w:cs="Times New Roman"/>
          <w:sz w:val="24"/>
          <w:szCs w:val="24"/>
        </w:rPr>
      </w:pPr>
      <w:r>
        <w:rPr>
          <w:rFonts w:cs="Times New Roman"/>
          <w:sz w:val="24"/>
          <w:szCs w:val="24"/>
        </w:rPr>
        <w:tab/>
      </w:r>
      <w:r w:rsidR="000B40D3" w:rsidRPr="00621537">
        <w:rPr>
          <w:rFonts w:cs="Times New Roman"/>
          <w:sz w:val="24"/>
          <w:szCs w:val="24"/>
        </w:rPr>
        <w:t xml:space="preserve">In this article, we introduce ‘mythographic topography’, a new analytical framework for understanding the workings of mythography. Our approach challenges the idea that these texts function chiefly as stable, transparent transmitters of mythic </w:t>
      </w:r>
      <w:r w:rsidR="000B40D3" w:rsidRPr="00621537">
        <w:rPr>
          <w:rFonts w:cs="Times New Roman"/>
          <w:i/>
          <w:iCs/>
          <w:sz w:val="24"/>
          <w:szCs w:val="24"/>
        </w:rPr>
        <w:t>content</w:t>
      </w:r>
      <w:r w:rsidR="000B40D3" w:rsidRPr="00621537">
        <w:rPr>
          <w:rFonts w:cs="Times New Roman"/>
          <w:sz w:val="24"/>
          <w:szCs w:val="24"/>
        </w:rPr>
        <w:t xml:space="preserve">. It returns to them an </w:t>
      </w:r>
      <w:r w:rsidR="000B40D3" w:rsidRPr="00621537">
        <w:rPr>
          <w:rFonts w:cs="Times New Roman"/>
          <w:i/>
          <w:iCs/>
          <w:sz w:val="24"/>
          <w:szCs w:val="24"/>
        </w:rPr>
        <w:t xml:space="preserve">experiential </w:t>
      </w:r>
      <w:r w:rsidR="000B40D3" w:rsidRPr="00621537">
        <w:rPr>
          <w:rFonts w:cs="Times New Roman"/>
          <w:sz w:val="24"/>
          <w:szCs w:val="24"/>
        </w:rPr>
        <w:t xml:space="preserve">dimension by recovering how readers navigate and make sense of one example of the corpus, the </w:t>
      </w:r>
      <w:r w:rsidR="000B40D3" w:rsidRPr="00621537">
        <w:rPr>
          <w:rFonts w:cs="Times New Roman"/>
          <w:i/>
          <w:iCs/>
          <w:sz w:val="24"/>
          <w:szCs w:val="24"/>
        </w:rPr>
        <w:t>Metamorphoses</w:t>
      </w:r>
      <w:r w:rsidR="000B40D3" w:rsidRPr="00621537">
        <w:rPr>
          <w:rFonts w:cs="Times New Roman"/>
          <w:sz w:val="24"/>
          <w:szCs w:val="24"/>
        </w:rPr>
        <w:t xml:space="preserve"> of Antoninus Liberalis. This framework affords texts a spatial reality and interrogates them as topographic entities in the fullest sense of the word. Attention to mythographic topography reveals the organi</w:t>
      </w:r>
      <w:r w:rsidR="009C599F" w:rsidRPr="00621537">
        <w:rPr>
          <w:rFonts w:cs="Times New Roman"/>
          <w:sz w:val="24"/>
          <w:szCs w:val="24"/>
        </w:rPr>
        <w:t>z</w:t>
      </w:r>
      <w:r w:rsidR="000B40D3" w:rsidRPr="00621537">
        <w:rPr>
          <w:rFonts w:cs="Times New Roman"/>
          <w:sz w:val="24"/>
          <w:szCs w:val="24"/>
        </w:rPr>
        <w:t>ational and rhetorical architecture of the text and the ways that such formal properties shape the reader’s experience of narrative forms and the spaces encountered within.</w:t>
      </w:r>
      <w:r w:rsidR="000B40D3" w:rsidRPr="00621537">
        <w:rPr>
          <w:rStyle w:val="FootnoteReference"/>
          <w:rFonts w:cs="Times New Roman"/>
        </w:rPr>
        <w:footnoteReference w:id="13"/>
      </w:r>
      <w:r w:rsidR="000B40D3" w:rsidRPr="00621537">
        <w:rPr>
          <w:rFonts w:cs="Times New Roman"/>
          <w:sz w:val="24"/>
          <w:szCs w:val="24"/>
        </w:rPr>
        <w:t xml:space="preserve"> Such analogies between the constructions of language and the dimensions of physical space recalls Gérard Genette’s </w:t>
      </w:r>
      <w:bookmarkStart w:id="0" w:name="_Hlk481674477"/>
      <w:r w:rsidR="000B40D3" w:rsidRPr="00621537">
        <w:rPr>
          <w:rFonts w:cs="Times New Roman"/>
          <w:sz w:val="24"/>
          <w:szCs w:val="24"/>
        </w:rPr>
        <w:t>observation that texts possess a ‘</w:t>
      </w:r>
      <w:r w:rsidR="000B40D3" w:rsidRPr="00621537">
        <w:rPr>
          <w:rFonts w:cs="Times New Roman"/>
          <w:sz w:val="24"/>
          <w:szCs w:val="24"/>
          <w:lang w:val="en-GB"/>
        </w:rPr>
        <w:t>spatialité littéraire active et non passive, signifiante et non signifiée</w:t>
      </w:r>
      <w:bookmarkEnd w:id="0"/>
      <w:r w:rsidR="000B40D3" w:rsidRPr="00621537">
        <w:rPr>
          <w:rFonts w:cs="Times New Roman"/>
          <w:sz w:val="24"/>
          <w:szCs w:val="24"/>
          <w:lang w:val="en-GB"/>
        </w:rPr>
        <w:t>’.</w:t>
      </w:r>
      <w:r w:rsidR="000B40D3" w:rsidRPr="00621537">
        <w:rPr>
          <w:rStyle w:val="FootnoteReference"/>
          <w:rFonts w:cs="Times New Roman"/>
        </w:rPr>
        <w:footnoteReference w:id="14"/>
      </w:r>
      <w:r w:rsidR="000B40D3" w:rsidRPr="00621537">
        <w:rPr>
          <w:rFonts w:cs="Times New Roman"/>
          <w:sz w:val="24"/>
          <w:szCs w:val="24"/>
        </w:rPr>
        <w:t xml:space="preserve"> In this way, exploring textual topography underscores the mythographer’s</w:t>
      </w:r>
      <w:r w:rsidR="000B40D3" w:rsidRPr="00621537">
        <w:rPr>
          <w:rFonts w:cs="Times New Roman"/>
          <w:sz w:val="24"/>
          <w:szCs w:val="24"/>
          <w:lang w:val="en-GB"/>
        </w:rPr>
        <w:t xml:space="preserve"> creative </w:t>
      </w:r>
      <w:r w:rsidR="000B40D3" w:rsidRPr="00621537">
        <w:rPr>
          <w:rFonts w:cs="Times New Roman"/>
          <w:sz w:val="24"/>
          <w:szCs w:val="24"/>
        </w:rPr>
        <w:t>agency in building a world out of words. Our analysis demonstrates that the mythographer’s ostensibly simple act of narrating stories in sequence causes the reader to actively grapple with issues of order, disorder, and re-ordering within culturally-familiar narrative paradigms.</w:t>
      </w:r>
    </w:p>
    <w:p w14:paraId="01EFF74D" w14:textId="77777777" w:rsidR="000B40D3" w:rsidRPr="00621537" w:rsidRDefault="000B40D3" w:rsidP="000B40D3">
      <w:pPr>
        <w:spacing w:line="480" w:lineRule="auto"/>
        <w:jc w:val="both"/>
        <w:rPr>
          <w:rFonts w:cs="Times New Roman"/>
          <w:sz w:val="24"/>
          <w:szCs w:val="24"/>
        </w:rPr>
      </w:pPr>
    </w:p>
    <w:p w14:paraId="6DEEE7F6" w14:textId="225B27A7" w:rsidR="000B40D3" w:rsidRPr="00621537" w:rsidRDefault="00327959" w:rsidP="000B40D3">
      <w:pPr>
        <w:spacing w:line="480" w:lineRule="auto"/>
        <w:jc w:val="both"/>
        <w:rPr>
          <w:rFonts w:cs="Times New Roman"/>
          <w:b/>
          <w:sz w:val="24"/>
          <w:szCs w:val="24"/>
        </w:rPr>
      </w:pPr>
      <w:r>
        <w:rPr>
          <w:rFonts w:cs="Times New Roman"/>
          <w:b/>
          <w:sz w:val="24"/>
          <w:szCs w:val="24"/>
        </w:rPr>
        <w:t>II</w:t>
      </w:r>
      <w:r w:rsidR="000B40D3" w:rsidRPr="00621537">
        <w:rPr>
          <w:rFonts w:cs="Times New Roman"/>
          <w:b/>
          <w:sz w:val="24"/>
          <w:szCs w:val="24"/>
        </w:rPr>
        <w:t>. Mythographic topography: representation and the thing itself</w:t>
      </w:r>
    </w:p>
    <w:p w14:paraId="0145C1E8" w14:textId="1E0CEAFE" w:rsidR="000B40D3" w:rsidRPr="00621537" w:rsidRDefault="000B40D3" w:rsidP="000B40D3">
      <w:pPr>
        <w:spacing w:line="480" w:lineRule="auto"/>
        <w:jc w:val="both"/>
        <w:rPr>
          <w:rFonts w:cs="Times New Roman"/>
          <w:sz w:val="24"/>
          <w:szCs w:val="24"/>
        </w:rPr>
      </w:pPr>
      <w:r w:rsidRPr="00621537">
        <w:rPr>
          <w:rFonts w:cs="Times New Roman"/>
          <w:sz w:val="24"/>
          <w:szCs w:val="24"/>
        </w:rPr>
        <w:t>Texts have spatial reality in three basic senses. Most obviously, a piece of writing takes up space. Its visible, material form draws the reader’s eye onwards, shaping how the reader comprehends what she reads. Every aspect of textual engagement thus informs the work of comprehension; as A.-M. Christin puts it, “Sur la page, tout est écriture</w:t>
      </w:r>
      <w:r w:rsidR="00595239" w:rsidRPr="00621537">
        <w:rPr>
          <w:rFonts w:cs="Times New Roman"/>
          <w:sz w:val="24"/>
          <w:szCs w:val="24"/>
        </w:rPr>
        <w:t xml:space="preserve"> </w:t>
      </w:r>
      <w:r w:rsidRPr="00621537">
        <w:rPr>
          <w:rFonts w:cs="Times New Roman"/>
          <w:sz w:val="24"/>
          <w:szCs w:val="24"/>
        </w:rPr>
        <w:t xml:space="preserve">… </w:t>
      </w:r>
      <w:r w:rsidRPr="00621537">
        <w:rPr>
          <w:rFonts w:cs="Times New Roman"/>
          <w:sz w:val="24"/>
          <w:szCs w:val="24"/>
          <w:lang w:val="fr-FR"/>
        </w:rPr>
        <w:t xml:space="preserve">Ce dont la page est le support n’est pas un état de fait mais une </w:t>
      </w:r>
      <w:r w:rsidRPr="00621537">
        <w:rPr>
          <w:rFonts w:cs="Times New Roman"/>
          <w:i/>
          <w:iCs/>
          <w:sz w:val="24"/>
          <w:szCs w:val="24"/>
          <w:lang w:val="fr-FR"/>
        </w:rPr>
        <w:t>tension génératrice de sens</w:t>
      </w:r>
      <w:r w:rsidR="00E63E37" w:rsidRPr="00621537">
        <w:rPr>
          <w:rFonts w:cs="Times New Roman"/>
          <w:i/>
          <w:iCs/>
          <w:sz w:val="24"/>
          <w:szCs w:val="24"/>
          <w:lang w:val="fr-FR"/>
        </w:rPr>
        <w:t>.</w:t>
      </w:r>
      <w:r w:rsidRPr="00621537">
        <w:rPr>
          <w:rFonts w:cs="Times New Roman"/>
          <w:sz w:val="24"/>
          <w:szCs w:val="24"/>
          <w:lang w:val="fr-FR"/>
        </w:rPr>
        <w:t>”</w:t>
      </w:r>
      <w:r w:rsidRPr="00621537">
        <w:rPr>
          <w:rStyle w:val="FootnoteReference"/>
          <w:rFonts w:cs="Times New Roman"/>
        </w:rPr>
        <w:footnoteReference w:id="15"/>
      </w:r>
      <w:r w:rsidRPr="00621537">
        <w:rPr>
          <w:rFonts w:cs="Times New Roman"/>
          <w:sz w:val="24"/>
          <w:szCs w:val="24"/>
          <w:lang w:val="fr-FR"/>
        </w:rPr>
        <w:t xml:space="preserve"> </w:t>
      </w:r>
      <w:r w:rsidRPr="00621537">
        <w:rPr>
          <w:rFonts w:cs="Times New Roman"/>
          <w:sz w:val="24"/>
          <w:szCs w:val="24"/>
        </w:rPr>
        <w:t xml:space="preserve">Less obviously, texts </w:t>
      </w:r>
      <w:r w:rsidRPr="00621537">
        <w:rPr>
          <w:rFonts w:cs="Times New Roman"/>
          <w:i/>
          <w:sz w:val="24"/>
          <w:szCs w:val="24"/>
        </w:rPr>
        <w:t>make</w:t>
      </w:r>
      <w:r w:rsidRPr="00621537">
        <w:rPr>
          <w:rFonts w:cs="Times New Roman"/>
          <w:sz w:val="24"/>
          <w:szCs w:val="24"/>
        </w:rPr>
        <w:t xml:space="preserve"> space. They create discursive storyworlds with various and shifting relationships to the world of lived reality.</w:t>
      </w:r>
      <w:r w:rsidRPr="00621537">
        <w:rPr>
          <w:rStyle w:val="FootnoteReference"/>
          <w:rFonts w:cs="Times New Roman"/>
        </w:rPr>
        <w:footnoteReference w:id="16"/>
      </w:r>
      <w:r w:rsidRPr="00621537">
        <w:rPr>
          <w:rFonts w:cs="Times New Roman"/>
          <w:sz w:val="24"/>
          <w:szCs w:val="24"/>
        </w:rPr>
        <w:t xml:space="preserve"> Least obvious is the metaphorical concreti</w:t>
      </w:r>
      <w:r w:rsidR="00A77106" w:rsidRPr="00621537">
        <w:rPr>
          <w:rFonts w:cs="Times New Roman"/>
          <w:sz w:val="24"/>
          <w:szCs w:val="24"/>
        </w:rPr>
        <w:t>z</w:t>
      </w:r>
      <w:r w:rsidRPr="00621537">
        <w:rPr>
          <w:rFonts w:cs="Times New Roman"/>
          <w:sz w:val="24"/>
          <w:szCs w:val="24"/>
        </w:rPr>
        <w:t>ation of narrative, apparent also in antiquity:</w:t>
      </w:r>
      <w:r w:rsidR="004F5DA1">
        <w:rPr>
          <w:rFonts w:cs="Times New Roman"/>
          <w:sz w:val="24"/>
          <w:szCs w:val="24"/>
        </w:rPr>
        <w:t xml:space="preserve"> </w:t>
      </w:r>
    </w:p>
    <w:p w14:paraId="6C2C9D4C" w14:textId="77777777" w:rsidR="000B40D3" w:rsidRPr="00621537" w:rsidRDefault="000B40D3" w:rsidP="000B40D3">
      <w:pPr>
        <w:spacing w:line="480" w:lineRule="auto"/>
        <w:ind w:left="720"/>
        <w:jc w:val="both"/>
        <w:rPr>
          <w:rFonts w:cs="Times New Roman"/>
          <w:sz w:val="24"/>
          <w:szCs w:val="24"/>
        </w:rPr>
      </w:pPr>
      <w:r w:rsidRPr="00621537">
        <w:rPr>
          <w:rFonts w:cs="Times New Roman"/>
          <w:sz w:val="24"/>
          <w:szCs w:val="24"/>
        </w:rPr>
        <w:t xml:space="preserve">Plot’s spatial legacy is pervasive in ancient Greek thought, where songs might be conceived as pathways, </w:t>
      </w:r>
      <w:r w:rsidRPr="00621537">
        <w:rPr>
          <w:rFonts w:cs="Times New Roman"/>
          <w:i/>
          <w:iCs/>
          <w:sz w:val="24"/>
          <w:szCs w:val="24"/>
        </w:rPr>
        <w:t xml:space="preserve">logoi </w:t>
      </w:r>
      <w:r w:rsidRPr="00621537">
        <w:rPr>
          <w:rFonts w:cs="Times New Roman"/>
          <w:sz w:val="24"/>
          <w:szCs w:val="24"/>
        </w:rPr>
        <w:t>as routes, writing as the movement of oxen turning back and forth across a field with a plough (</w:t>
      </w:r>
      <w:r w:rsidRPr="00621537">
        <w:rPr>
          <w:rFonts w:cs="Times New Roman"/>
          <w:i/>
          <w:iCs/>
          <w:sz w:val="24"/>
          <w:szCs w:val="24"/>
        </w:rPr>
        <w:t>boustrophedon</w:t>
      </w:r>
      <w:r w:rsidRPr="00621537">
        <w:rPr>
          <w:rFonts w:cs="Times New Roman"/>
          <w:sz w:val="24"/>
          <w:szCs w:val="24"/>
        </w:rPr>
        <w:t>), narrative as pictures or landscapes, and plots even as living creatures that take up set areas of space.</w:t>
      </w:r>
      <w:r w:rsidRPr="00621537">
        <w:rPr>
          <w:rStyle w:val="FootnoteReference"/>
          <w:rFonts w:cs="Times New Roman"/>
        </w:rPr>
        <w:footnoteReference w:id="17"/>
      </w:r>
    </w:p>
    <w:p w14:paraId="069B5969" w14:textId="3C300B66" w:rsidR="000B40D3" w:rsidRPr="00621537" w:rsidRDefault="000B40D3" w:rsidP="000B40D3">
      <w:pPr>
        <w:spacing w:line="480" w:lineRule="auto"/>
        <w:jc w:val="both"/>
        <w:rPr>
          <w:rFonts w:cs="Times New Roman"/>
          <w:sz w:val="24"/>
          <w:szCs w:val="24"/>
        </w:rPr>
      </w:pPr>
      <w:r w:rsidRPr="00621537">
        <w:rPr>
          <w:rFonts w:cs="Times New Roman"/>
          <w:sz w:val="24"/>
          <w:szCs w:val="24"/>
        </w:rPr>
        <w:t>This sense of the topographic dynamics of narrative is laid bare in Alex Purves’ application to Greek literature of a basic distinction between the cartographic perspective – in which all is available before the eyes in a single glance – and the hodological – in which the perspective is that of a traveller.</w:t>
      </w:r>
      <w:r w:rsidRPr="00621537">
        <w:rPr>
          <w:rStyle w:val="FootnoteReference"/>
          <w:rFonts w:cs="Times New Roman"/>
        </w:rPr>
        <w:footnoteReference w:id="18"/>
      </w:r>
      <w:r w:rsidRPr="00621537">
        <w:rPr>
          <w:rFonts w:cs="Times New Roman"/>
          <w:sz w:val="24"/>
          <w:szCs w:val="24"/>
        </w:rPr>
        <w:t xml:space="preserve"> The extreme cartographic mode is essentially ‘plotless’ in that all its elements are experienced instantaneously.</w:t>
      </w:r>
      <w:r w:rsidRPr="00621537">
        <w:rPr>
          <w:rStyle w:val="FootnoteReference"/>
          <w:rFonts w:cs="Times New Roman"/>
        </w:rPr>
        <w:footnoteReference w:id="19"/>
      </w:r>
      <w:r w:rsidRPr="00621537">
        <w:rPr>
          <w:rFonts w:cs="Times New Roman"/>
          <w:sz w:val="24"/>
          <w:szCs w:val="24"/>
        </w:rPr>
        <w:t xml:space="preserve"> The hodological paradigm, by contrast, makes the reader’s experience something like following a series of corridors or paths until the architecture of the text as a whole finally appears as a complete cognitive map.</w:t>
      </w:r>
      <w:r w:rsidRPr="00621537">
        <w:rPr>
          <w:rStyle w:val="FootnoteReference"/>
          <w:rFonts w:cs="Times New Roman"/>
        </w:rPr>
        <w:footnoteReference w:id="20"/>
      </w:r>
      <w:r w:rsidRPr="00621537">
        <w:rPr>
          <w:rFonts w:cs="Times New Roman"/>
          <w:sz w:val="24"/>
          <w:szCs w:val="24"/>
        </w:rPr>
        <w:t xml:space="preserve"> In this model, reading can be described as a ‘journey’ across a land</w:t>
      </w:r>
      <w:r w:rsidRPr="00621537">
        <w:rPr>
          <w:rStyle w:val="FootnoteReference"/>
          <w:rFonts w:cs="Times New Roman"/>
        </w:rPr>
        <w:footnoteReference w:id="21"/>
      </w:r>
      <w:r w:rsidRPr="00621537">
        <w:rPr>
          <w:rFonts w:cs="Times New Roman"/>
          <w:sz w:val="24"/>
          <w:szCs w:val="24"/>
        </w:rPr>
        <w:t xml:space="preserve"> in that the temporal qualities of perception and comprehension are transformed into spatial ones; stories are objects to be </w:t>
      </w:r>
      <w:r w:rsidRPr="00621537">
        <w:rPr>
          <w:rFonts w:cs="Times New Roman"/>
          <w:i/>
          <w:sz w:val="24"/>
          <w:szCs w:val="24"/>
        </w:rPr>
        <w:t>seen</w:t>
      </w:r>
      <w:r w:rsidRPr="00621537">
        <w:rPr>
          <w:rFonts w:cs="Times New Roman"/>
          <w:sz w:val="24"/>
          <w:szCs w:val="24"/>
        </w:rPr>
        <w:t>, a transference which</w:t>
      </w:r>
      <w:r w:rsidRPr="00621537">
        <w:rPr>
          <w:rFonts w:cs="Times New Roman"/>
          <w:i/>
          <w:iCs/>
          <w:sz w:val="24"/>
          <w:szCs w:val="24"/>
        </w:rPr>
        <w:t xml:space="preserve"> </w:t>
      </w:r>
      <w:r w:rsidRPr="00621537">
        <w:rPr>
          <w:rFonts w:cs="Times New Roman"/>
          <w:sz w:val="24"/>
          <w:szCs w:val="24"/>
        </w:rPr>
        <w:t xml:space="preserve">goes back at least to Aristotle’s comments on the </w:t>
      </w:r>
      <w:r w:rsidRPr="00621537">
        <w:rPr>
          <w:rFonts w:cs="Times New Roman"/>
          <w:i/>
          <w:iCs/>
          <w:sz w:val="24"/>
          <w:szCs w:val="24"/>
        </w:rPr>
        <w:t>eus</w:t>
      </w:r>
      <w:r w:rsidR="00327959">
        <w:rPr>
          <w:rFonts w:cs="Times New Roman"/>
          <w:i/>
          <w:iCs/>
          <w:sz w:val="24"/>
          <w:szCs w:val="24"/>
        </w:rPr>
        <w:t>u</w:t>
      </w:r>
      <w:r w:rsidRPr="00621537">
        <w:rPr>
          <w:rFonts w:cs="Times New Roman"/>
          <w:i/>
          <w:iCs/>
          <w:sz w:val="24"/>
          <w:szCs w:val="24"/>
        </w:rPr>
        <w:t xml:space="preserve">noptos </w:t>
      </w:r>
      <w:r w:rsidRPr="00621537">
        <w:rPr>
          <w:rFonts w:cs="Times New Roman"/>
          <w:sz w:val="24"/>
          <w:szCs w:val="24"/>
        </w:rPr>
        <w:t>(‘easily surveyed’) plot.</w:t>
      </w:r>
      <w:r w:rsidRPr="00621537">
        <w:rPr>
          <w:rStyle w:val="FootnoteReference"/>
          <w:rFonts w:cs="Times New Roman"/>
        </w:rPr>
        <w:footnoteReference w:id="22"/>
      </w:r>
      <w:r w:rsidRPr="00621537">
        <w:rPr>
          <w:rFonts w:cs="Times New Roman"/>
          <w:sz w:val="24"/>
          <w:szCs w:val="24"/>
        </w:rPr>
        <w:t xml:space="preserve"> Thus, cognitive experience creates a further means for understanding texts as having perceptible weight.</w:t>
      </w:r>
      <w:r w:rsidR="004F5DA1">
        <w:rPr>
          <w:rFonts w:cs="Times New Roman"/>
          <w:sz w:val="24"/>
          <w:szCs w:val="24"/>
        </w:rPr>
        <w:t xml:space="preserve"> </w:t>
      </w:r>
    </w:p>
    <w:p w14:paraId="74E01696" w14:textId="0F0F5FD6" w:rsidR="000B40D3" w:rsidRPr="00621537" w:rsidRDefault="00A8533F" w:rsidP="000B40D3">
      <w:pPr>
        <w:spacing w:line="480" w:lineRule="auto"/>
        <w:jc w:val="both"/>
        <w:rPr>
          <w:rFonts w:cs="Times New Roman"/>
          <w:sz w:val="24"/>
          <w:szCs w:val="24"/>
        </w:rPr>
      </w:pPr>
      <w:r>
        <w:rPr>
          <w:rFonts w:cs="Times New Roman"/>
          <w:sz w:val="24"/>
          <w:szCs w:val="24"/>
        </w:rPr>
        <w:tab/>
      </w:r>
      <w:r w:rsidR="000B40D3" w:rsidRPr="00621537">
        <w:rPr>
          <w:rFonts w:cs="Times New Roman"/>
          <w:sz w:val="24"/>
          <w:szCs w:val="24"/>
        </w:rPr>
        <w:t xml:space="preserve">These three basic observations on spatiality – that texts take place, make place and contain ‘mappable’ narratives – are the foundation for our topographical analysis. Each corresponds to a distinct meaning of the Greek </w:t>
      </w:r>
      <w:r w:rsidR="000B40D3" w:rsidRPr="00621537">
        <w:rPr>
          <w:rFonts w:cs="Times New Roman"/>
          <w:i/>
          <w:sz w:val="24"/>
          <w:szCs w:val="24"/>
        </w:rPr>
        <w:t>topos</w:t>
      </w:r>
      <w:r w:rsidR="000B40D3" w:rsidRPr="00621537">
        <w:rPr>
          <w:rFonts w:cs="Times New Roman"/>
          <w:sz w:val="24"/>
          <w:szCs w:val="24"/>
        </w:rPr>
        <w:t xml:space="preserve">: a textual passage, a place and a rhetorical commonplace. Our discussion of the </w:t>
      </w:r>
      <w:r w:rsidR="000B40D3" w:rsidRPr="00621537">
        <w:rPr>
          <w:rFonts w:cs="Times New Roman"/>
          <w:i/>
          <w:sz w:val="24"/>
          <w:szCs w:val="24"/>
        </w:rPr>
        <w:t>Metamorphoses</w:t>
      </w:r>
      <w:r w:rsidR="000B40D3" w:rsidRPr="00621537">
        <w:rPr>
          <w:rFonts w:cs="Times New Roman"/>
          <w:sz w:val="24"/>
          <w:szCs w:val="24"/>
        </w:rPr>
        <w:t xml:space="preserve"> (below) takes each meaning in turn as a framework for interpretation and considers how these distinct facets of spatiality interact. Yet the ambivalence of </w:t>
      </w:r>
      <w:r w:rsidR="000B40D3" w:rsidRPr="00621537">
        <w:rPr>
          <w:rFonts w:cs="Times New Roman"/>
          <w:i/>
          <w:sz w:val="24"/>
          <w:szCs w:val="24"/>
        </w:rPr>
        <w:t xml:space="preserve">topos </w:t>
      </w:r>
      <w:r w:rsidR="000B40D3" w:rsidRPr="00621537">
        <w:rPr>
          <w:rFonts w:cs="Times New Roman"/>
          <w:sz w:val="24"/>
          <w:szCs w:val="24"/>
        </w:rPr>
        <w:t xml:space="preserve">is only one way in which the term ‘topography’ contains provocative resonances that we can use to fruitfully examine that analogous term, ‘mythography’. Both ‘topography’ and ‘mythography’ maintain an innate tension between the ontological status of </w:t>
      </w:r>
      <w:r w:rsidR="000B40D3" w:rsidRPr="00621537">
        <w:rPr>
          <w:rFonts w:cs="Times New Roman"/>
          <w:i/>
          <w:iCs/>
          <w:sz w:val="24"/>
          <w:szCs w:val="24"/>
        </w:rPr>
        <w:t>topos/m</w:t>
      </w:r>
      <w:r w:rsidR="00C23DCB">
        <w:rPr>
          <w:rFonts w:cs="Times New Roman"/>
          <w:i/>
          <w:iCs/>
          <w:sz w:val="24"/>
          <w:szCs w:val="24"/>
        </w:rPr>
        <w:t>u</w:t>
      </w:r>
      <w:r w:rsidR="000B40D3" w:rsidRPr="00621537">
        <w:rPr>
          <w:rFonts w:cs="Times New Roman"/>
          <w:i/>
          <w:iCs/>
          <w:sz w:val="24"/>
          <w:szCs w:val="24"/>
        </w:rPr>
        <w:t>thos</w:t>
      </w:r>
      <w:r w:rsidR="000B40D3" w:rsidRPr="00621537">
        <w:rPr>
          <w:rFonts w:cs="Times New Roman"/>
          <w:iCs/>
          <w:sz w:val="24"/>
          <w:szCs w:val="24"/>
        </w:rPr>
        <w:t xml:space="preserve"> </w:t>
      </w:r>
      <w:r w:rsidR="000B40D3" w:rsidRPr="00621537">
        <w:rPr>
          <w:rFonts w:cs="Times New Roman"/>
          <w:sz w:val="24"/>
          <w:szCs w:val="24"/>
        </w:rPr>
        <w:t xml:space="preserve">and the mimetic constraints of </w:t>
      </w:r>
      <w:r w:rsidR="000B40D3" w:rsidRPr="00621537">
        <w:rPr>
          <w:rFonts w:cs="Times New Roman"/>
          <w:i/>
          <w:iCs/>
          <w:sz w:val="24"/>
          <w:szCs w:val="24"/>
        </w:rPr>
        <w:t>graph</w:t>
      </w:r>
      <w:r w:rsidR="00F415CF" w:rsidRPr="00621537">
        <w:rPr>
          <w:rFonts w:cs="Times New Roman"/>
          <w:i/>
          <w:iCs/>
          <w:sz w:val="24"/>
          <w:szCs w:val="24"/>
        </w:rPr>
        <w:t>ē</w:t>
      </w:r>
      <w:r w:rsidR="000B40D3" w:rsidRPr="00621537">
        <w:rPr>
          <w:rFonts w:cs="Times New Roman"/>
          <w:sz w:val="24"/>
          <w:szCs w:val="24"/>
        </w:rPr>
        <w:t>.</w:t>
      </w:r>
      <w:r w:rsidR="000B40D3" w:rsidRPr="00621537">
        <w:rPr>
          <w:rFonts w:cs="Times New Roman"/>
          <w:sz w:val="24"/>
          <w:szCs w:val="24"/>
          <w:lang w:val="en-GB"/>
        </w:rPr>
        <w:t xml:space="preserve"> Mythography might be thought to stand in the same relationship to </w:t>
      </w:r>
      <w:r w:rsidR="000B40D3" w:rsidRPr="00621537">
        <w:rPr>
          <w:rFonts w:cs="Times New Roman"/>
          <w:i/>
          <w:iCs/>
          <w:sz w:val="24"/>
          <w:szCs w:val="24"/>
          <w:lang w:val="en-GB"/>
        </w:rPr>
        <w:t>m</w:t>
      </w:r>
      <w:r w:rsidR="00C23DCB">
        <w:rPr>
          <w:rFonts w:cs="Times New Roman"/>
          <w:i/>
          <w:iCs/>
          <w:sz w:val="24"/>
          <w:szCs w:val="24"/>
          <w:lang w:val="en-GB"/>
        </w:rPr>
        <w:t>u</w:t>
      </w:r>
      <w:r w:rsidR="000B40D3" w:rsidRPr="00621537">
        <w:rPr>
          <w:rFonts w:cs="Times New Roman"/>
          <w:i/>
          <w:iCs/>
          <w:sz w:val="24"/>
          <w:szCs w:val="24"/>
          <w:lang w:val="en-GB"/>
        </w:rPr>
        <w:t>thos</w:t>
      </w:r>
      <w:r w:rsidR="000B40D3" w:rsidRPr="00621537">
        <w:rPr>
          <w:rFonts w:cs="Times New Roman"/>
          <w:sz w:val="24"/>
          <w:szCs w:val="24"/>
          <w:lang w:val="en-GB"/>
        </w:rPr>
        <w:t xml:space="preserve"> as topography does to </w:t>
      </w:r>
      <w:r w:rsidR="000B40D3" w:rsidRPr="00621537">
        <w:rPr>
          <w:rFonts w:cs="Times New Roman"/>
          <w:i/>
          <w:iCs/>
          <w:sz w:val="24"/>
          <w:szCs w:val="24"/>
          <w:lang w:val="en-GB"/>
        </w:rPr>
        <w:t>topos</w:t>
      </w:r>
      <w:r w:rsidR="000B40D3" w:rsidRPr="00621537">
        <w:rPr>
          <w:rFonts w:cs="Times New Roman"/>
          <w:sz w:val="24"/>
          <w:szCs w:val="24"/>
          <w:lang w:val="en-GB"/>
        </w:rPr>
        <w:t>: it corresponds to the map or the photograph or the line of poetry which captures some schematic rendering of the lived experience of a place.</w:t>
      </w:r>
      <w:r w:rsidR="000B40D3" w:rsidRPr="00621537">
        <w:rPr>
          <w:rFonts w:cs="Times New Roman"/>
          <w:sz w:val="24"/>
          <w:szCs w:val="24"/>
        </w:rPr>
        <w:t xml:space="preserve"> But where does that representation begin? At what point does myth pass over into something that is not myth proper? The post-structuralist dogmatism set out above is no longer adequate: it rarefies myth </w:t>
      </w:r>
      <w:r w:rsidR="000B40D3" w:rsidRPr="00621537">
        <w:rPr>
          <w:rFonts w:cs="Times New Roman"/>
          <w:sz w:val="24"/>
          <w:szCs w:val="24"/>
          <w:lang w:val="en-GB"/>
        </w:rPr>
        <w:t>out of existence since all cultural artefacts are codified in some way. Simply to narrate a myth is to ‘package’ it to suit a particular enunciative context. And such representations of ‘myth itself’ (whatever that might now be thought of to be) inherently involve loss.</w:t>
      </w:r>
      <w:r w:rsidR="000B40D3" w:rsidRPr="00621537">
        <w:rPr>
          <w:rStyle w:val="FootnoteReference"/>
          <w:rFonts w:cs="Times New Roman"/>
        </w:rPr>
        <w:footnoteReference w:id="23"/>
      </w:r>
      <w:r w:rsidR="000B40D3" w:rsidRPr="00621537">
        <w:rPr>
          <w:rFonts w:cs="Times New Roman"/>
          <w:sz w:val="24"/>
          <w:szCs w:val="24"/>
          <w:lang w:val="en-GB"/>
        </w:rPr>
        <w:t xml:space="preserve"> Of course there are aspects of myth which cannot be mapped and conveyed in writing, let alone in the pared-back prose of the mythographers;</w:t>
      </w:r>
      <w:r w:rsidR="000B40D3" w:rsidRPr="00621537">
        <w:rPr>
          <w:rStyle w:val="FootnoteReference"/>
          <w:rFonts w:cs="Times New Roman"/>
        </w:rPr>
        <w:footnoteReference w:id="24"/>
      </w:r>
      <w:r w:rsidR="000B40D3" w:rsidRPr="00621537">
        <w:rPr>
          <w:rFonts w:cs="Times New Roman"/>
          <w:sz w:val="24"/>
          <w:szCs w:val="24"/>
          <w:lang w:val="en-GB"/>
        </w:rPr>
        <w:t xml:space="preserve"> in the same way, ‘atopical’ phenomena will escape the bounds of topography and remain ‘unplaceable places’.</w:t>
      </w:r>
      <w:r w:rsidR="000B40D3" w:rsidRPr="00621537">
        <w:rPr>
          <w:rStyle w:val="FootnoteReference"/>
          <w:rFonts w:cs="Times New Roman"/>
        </w:rPr>
        <w:footnoteReference w:id="25"/>
      </w:r>
      <w:r w:rsidR="000B40D3" w:rsidRPr="00621537">
        <w:rPr>
          <w:rFonts w:cs="Times New Roman"/>
          <w:sz w:val="24"/>
          <w:szCs w:val="24"/>
          <w:lang w:val="en-GB"/>
        </w:rPr>
        <w:t xml:space="preserve"> Nonetheless, mythography is an authentic part of the archive produced by the lived experience and innate creativity of ancient storytelling.</w:t>
      </w:r>
      <w:r w:rsidR="004F5DA1">
        <w:rPr>
          <w:rFonts w:cs="Times New Roman"/>
          <w:sz w:val="24"/>
          <w:szCs w:val="24"/>
          <w:lang w:val="en-GB"/>
        </w:rPr>
        <w:t xml:space="preserve"> </w:t>
      </w:r>
      <w:r w:rsidR="000B40D3" w:rsidRPr="00621537">
        <w:rPr>
          <w:rFonts w:cs="Times New Roman"/>
          <w:sz w:val="24"/>
          <w:szCs w:val="24"/>
          <w:lang w:val="en-GB"/>
        </w:rPr>
        <w:t xml:space="preserve"> </w:t>
      </w:r>
    </w:p>
    <w:p w14:paraId="572E2F3E" w14:textId="5BDC3CFA" w:rsidR="000B40D3" w:rsidRPr="00621537" w:rsidRDefault="00C23DCB" w:rsidP="000B40D3">
      <w:pPr>
        <w:spacing w:line="480" w:lineRule="auto"/>
        <w:jc w:val="both"/>
        <w:rPr>
          <w:rFonts w:cs="Times New Roman"/>
          <w:sz w:val="24"/>
          <w:szCs w:val="24"/>
        </w:rPr>
      </w:pPr>
      <w:r>
        <w:rPr>
          <w:rFonts w:cs="Times New Roman"/>
          <w:iCs/>
          <w:sz w:val="24"/>
          <w:szCs w:val="24"/>
          <w:lang w:val="en-GB"/>
        </w:rPr>
        <w:tab/>
      </w:r>
      <w:r w:rsidR="000B40D3" w:rsidRPr="00621537">
        <w:rPr>
          <w:rFonts w:cs="Times New Roman"/>
          <w:iCs/>
          <w:sz w:val="24"/>
          <w:szCs w:val="24"/>
          <w:lang w:val="en-GB"/>
        </w:rPr>
        <w:t>Approaching mythography as ‘topographical’ requires next considering the map-like features of texts. Mythographers link stories together in linear chains, each imposing his own</w:t>
      </w:r>
      <w:r w:rsidR="000B40D3" w:rsidRPr="00621537">
        <w:rPr>
          <w:rFonts w:cs="Times New Roman"/>
          <w:sz w:val="24"/>
          <w:szCs w:val="24"/>
        </w:rPr>
        <w:t xml:space="preserve"> (dis)order within a particular grouping of narratives. Comprehensive mythographies – the </w:t>
      </w:r>
      <w:r w:rsidR="000B40D3" w:rsidRPr="00621537">
        <w:rPr>
          <w:rFonts w:cs="Times New Roman"/>
          <w:i/>
          <w:sz w:val="24"/>
          <w:szCs w:val="24"/>
        </w:rPr>
        <w:t>Bibliotheca</w:t>
      </w:r>
      <w:r w:rsidR="000B40D3" w:rsidRPr="00621537">
        <w:rPr>
          <w:rFonts w:cs="Times New Roman"/>
          <w:sz w:val="24"/>
          <w:szCs w:val="24"/>
        </w:rPr>
        <w:t xml:space="preserve"> of Apollodorus and Pherecydes before him – exploit genealogies and regional affiliations as connectors. Thematic treatments – Parthenius’ stories of love, Eratosthenes’ aetiologies of constellations and of course Antoninus Liberalis’ collection of metamorphoses – privilege </w:t>
      </w:r>
      <w:r w:rsidR="009029BC" w:rsidRPr="00621537">
        <w:rPr>
          <w:rFonts w:cs="Times New Roman"/>
          <w:sz w:val="24"/>
          <w:szCs w:val="24"/>
        </w:rPr>
        <w:t>formalism</w:t>
      </w:r>
      <w:r w:rsidR="000B40D3" w:rsidRPr="00621537">
        <w:rPr>
          <w:rFonts w:cs="Times New Roman"/>
          <w:sz w:val="24"/>
          <w:szCs w:val="24"/>
        </w:rPr>
        <w:t xml:space="preserve"> by collating proliferating examples of a narrative category. Whereas maps extend ‘the value of a system’ to place and reveal ‘larger, overall patterns’,</w:t>
      </w:r>
      <w:r w:rsidR="000B40D3" w:rsidRPr="00621537">
        <w:rPr>
          <w:rStyle w:val="FootnoteReference"/>
          <w:rFonts w:cs="Times New Roman"/>
        </w:rPr>
        <w:footnoteReference w:id="26"/>
      </w:r>
      <w:r w:rsidR="000B40D3" w:rsidRPr="00621537">
        <w:rPr>
          <w:rFonts w:cs="Times New Roman"/>
          <w:sz w:val="24"/>
          <w:szCs w:val="24"/>
        </w:rPr>
        <w:t xml:space="preserve"> we might think of mythographers as supplying indexes to the poetic corpus. Their texts are in this way ‘secondary’ treatments which afford a potentially-infinite number of simultaneous paths through. In the same way that indexes create unprecedented and sometimes meaningful combinations through the arbitrary arrangement of alphabetical lists, so too do mythographies, by arranging material within a stable framework, produce new juxtapositions of stories. And like the humble index to a scholarly monograph, the mythographic corpus is now more frequently consulted than recogni</w:t>
      </w:r>
      <w:r w:rsidR="009C599F" w:rsidRPr="00621537">
        <w:rPr>
          <w:rFonts w:cs="Times New Roman"/>
          <w:sz w:val="24"/>
          <w:szCs w:val="24"/>
        </w:rPr>
        <w:t>z</w:t>
      </w:r>
      <w:r w:rsidR="000B40D3" w:rsidRPr="00621537">
        <w:rPr>
          <w:rFonts w:cs="Times New Roman"/>
          <w:sz w:val="24"/>
          <w:szCs w:val="24"/>
        </w:rPr>
        <w:t>ed as a cultural force in its own right.</w:t>
      </w:r>
    </w:p>
    <w:p w14:paraId="5745EA09" w14:textId="2B1C316B" w:rsidR="000B40D3" w:rsidRPr="00621537" w:rsidRDefault="00C23DCB" w:rsidP="000B40D3">
      <w:pPr>
        <w:spacing w:line="480" w:lineRule="auto"/>
        <w:jc w:val="both"/>
        <w:rPr>
          <w:rFonts w:cs="Times New Roman"/>
          <w:sz w:val="24"/>
          <w:szCs w:val="24"/>
        </w:rPr>
      </w:pPr>
      <w:r>
        <w:rPr>
          <w:rFonts w:cs="Times New Roman"/>
          <w:sz w:val="24"/>
          <w:szCs w:val="24"/>
        </w:rPr>
        <w:tab/>
      </w:r>
      <w:r w:rsidR="000B40D3" w:rsidRPr="00621537">
        <w:rPr>
          <w:rFonts w:cs="Times New Roman"/>
          <w:sz w:val="24"/>
          <w:szCs w:val="24"/>
        </w:rPr>
        <w:t xml:space="preserve">Finally, ‘topography’ offers an apparent paradox: </w:t>
      </w:r>
      <w:r w:rsidR="000B40D3" w:rsidRPr="00621537">
        <w:rPr>
          <w:rFonts w:cs="Times New Roman"/>
          <w:sz w:val="24"/>
          <w:szCs w:val="24"/>
          <w:lang w:val="en-GB"/>
        </w:rPr>
        <w:t>in English this term no longer means solely ‘a representation or description of terrain’, but is also used to mean ‘the terrain itself’, without any reference to its mapping. So, representation has fused conceptually with the thing represented, making ‘topography’ simultaneously mimetic and ontological.</w:t>
      </w:r>
      <w:r w:rsidR="000B40D3" w:rsidRPr="00621537">
        <w:rPr>
          <w:rStyle w:val="FootnoteReference"/>
          <w:rFonts w:cs="Times New Roman"/>
        </w:rPr>
        <w:footnoteReference w:id="27"/>
      </w:r>
      <w:r w:rsidR="000B40D3" w:rsidRPr="00621537">
        <w:rPr>
          <w:rFonts w:cs="Times New Roman"/>
          <w:sz w:val="24"/>
          <w:szCs w:val="24"/>
          <w:lang w:val="en-GB"/>
        </w:rPr>
        <w:t xml:space="preserve"> Our use of the term ‘topography’ must recogni</w:t>
      </w:r>
      <w:r w:rsidR="009029BC" w:rsidRPr="00621537">
        <w:rPr>
          <w:rFonts w:cs="Times New Roman"/>
          <w:sz w:val="24"/>
          <w:szCs w:val="24"/>
          <w:lang w:val="en-GB"/>
        </w:rPr>
        <w:t>z</w:t>
      </w:r>
      <w:r w:rsidR="000B40D3" w:rsidRPr="00621537">
        <w:rPr>
          <w:rFonts w:cs="Times New Roman"/>
          <w:sz w:val="24"/>
          <w:szCs w:val="24"/>
          <w:lang w:val="en-GB"/>
        </w:rPr>
        <w:t xml:space="preserve">e that representation shapes knowledge and can come to stand in for the thing itself. This final observation is crucial since, as we have already intimated, the workings of mythography are practically inseparable from </w:t>
      </w:r>
      <w:r w:rsidR="000B40D3" w:rsidRPr="00621537">
        <w:rPr>
          <w:rFonts w:cs="Times New Roman"/>
          <w:i/>
          <w:iCs/>
          <w:sz w:val="24"/>
          <w:szCs w:val="24"/>
          <w:lang w:val="en-GB"/>
        </w:rPr>
        <w:t>myth</w:t>
      </w:r>
      <w:r w:rsidR="000B40D3" w:rsidRPr="00621537">
        <w:rPr>
          <w:rFonts w:cs="Times New Roman"/>
          <w:sz w:val="24"/>
          <w:szCs w:val="24"/>
          <w:lang w:val="en-GB"/>
        </w:rPr>
        <w:t xml:space="preserve">. With this slippage in mind, mythography is not simply a charting of </w:t>
      </w:r>
      <w:r w:rsidR="000B40D3" w:rsidRPr="00621537">
        <w:rPr>
          <w:rFonts w:cs="Times New Roman"/>
          <w:i/>
          <w:iCs/>
          <w:sz w:val="24"/>
          <w:szCs w:val="24"/>
          <w:lang w:val="en-GB"/>
        </w:rPr>
        <w:t>myth</w:t>
      </w:r>
      <w:r w:rsidR="000B40D3" w:rsidRPr="00621537">
        <w:rPr>
          <w:rFonts w:cs="Times New Roman"/>
          <w:sz w:val="24"/>
          <w:szCs w:val="24"/>
          <w:lang w:val="en-GB"/>
        </w:rPr>
        <w:t>, but an instantiation of it. The idea that an act of mapping can come to have ontological force is inextricably bound up in the workings of ideology. ‘Mapping knowledge’ is no innocent pastime in an Empire whose rhetoric figured the map as constitutive of the imposition of centrali</w:t>
      </w:r>
      <w:r w:rsidR="009029BC" w:rsidRPr="00621537">
        <w:rPr>
          <w:rFonts w:cs="Times New Roman"/>
          <w:sz w:val="24"/>
          <w:szCs w:val="24"/>
          <w:lang w:val="en-GB"/>
        </w:rPr>
        <w:t>z</w:t>
      </w:r>
      <w:r w:rsidR="000B40D3" w:rsidRPr="00621537">
        <w:rPr>
          <w:rFonts w:cs="Times New Roman"/>
          <w:sz w:val="24"/>
          <w:szCs w:val="24"/>
          <w:lang w:val="en-GB"/>
        </w:rPr>
        <w:t>ed frameworks of control.</w:t>
      </w:r>
      <w:r w:rsidR="000B40D3" w:rsidRPr="00621537">
        <w:rPr>
          <w:rStyle w:val="FootnoteReference"/>
          <w:rFonts w:cs="Times New Roman"/>
        </w:rPr>
        <w:footnoteReference w:id="28"/>
      </w:r>
      <w:r w:rsidR="000B40D3" w:rsidRPr="00621537">
        <w:rPr>
          <w:rFonts w:cs="Times New Roman"/>
          <w:sz w:val="24"/>
          <w:szCs w:val="24"/>
        </w:rPr>
        <w:t xml:space="preserve"> </w:t>
      </w:r>
    </w:p>
    <w:p w14:paraId="45FC1320" w14:textId="77777777" w:rsidR="000B40D3" w:rsidRPr="00621537" w:rsidRDefault="000B40D3" w:rsidP="000B40D3">
      <w:pPr>
        <w:spacing w:line="480" w:lineRule="auto"/>
        <w:jc w:val="both"/>
        <w:rPr>
          <w:rFonts w:cs="Times New Roman"/>
          <w:b/>
          <w:iCs/>
          <w:sz w:val="24"/>
          <w:szCs w:val="24"/>
        </w:rPr>
      </w:pPr>
    </w:p>
    <w:p w14:paraId="727696E0" w14:textId="73A08D3E" w:rsidR="000B40D3" w:rsidRPr="00621537" w:rsidRDefault="000B40D3" w:rsidP="000B40D3">
      <w:pPr>
        <w:spacing w:line="480" w:lineRule="auto"/>
        <w:jc w:val="both"/>
        <w:outlineLvl w:val="0"/>
        <w:rPr>
          <w:rFonts w:cs="Times New Roman"/>
          <w:b/>
          <w:iCs/>
          <w:sz w:val="24"/>
          <w:szCs w:val="24"/>
        </w:rPr>
      </w:pPr>
      <w:r w:rsidRPr="00621537">
        <w:rPr>
          <w:rFonts w:cs="Times New Roman"/>
          <w:b/>
          <w:iCs/>
          <w:sz w:val="24"/>
          <w:szCs w:val="24"/>
        </w:rPr>
        <w:t>(3) Topos I: the arrangement of textual passages</w:t>
      </w:r>
    </w:p>
    <w:p w14:paraId="4A8710ED" w14:textId="71576647" w:rsidR="000B40D3" w:rsidRPr="00621537" w:rsidRDefault="000B40D3" w:rsidP="000B40D3">
      <w:pPr>
        <w:spacing w:line="480" w:lineRule="auto"/>
        <w:jc w:val="both"/>
        <w:rPr>
          <w:rFonts w:cs="Times New Roman"/>
          <w:sz w:val="24"/>
          <w:szCs w:val="24"/>
        </w:rPr>
      </w:pPr>
      <w:r w:rsidRPr="00621537">
        <w:rPr>
          <w:rFonts w:cs="Times New Roman"/>
          <w:sz w:val="24"/>
          <w:szCs w:val="24"/>
        </w:rPr>
        <w:t xml:space="preserve">The </w:t>
      </w:r>
      <w:r w:rsidRPr="00621537">
        <w:rPr>
          <w:rFonts w:cs="Times New Roman"/>
          <w:i/>
          <w:sz w:val="24"/>
          <w:szCs w:val="24"/>
        </w:rPr>
        <w:t xml:space="preserve">Metamorphoses </w:t>
      </w:r>
      <w:r w:rsidRPr="00621537">
        <w:rPr>
          <w:rFonts w:cs="Times New Roman"/>
          <w:sz w:val="24"/>
          <w:szCs w:val="24"/>
        </w:rPr>
        <w:t>of Antoninus Liberalis is a work of (probably) the second or third centur</w:t>
      </w:r>
      <w:r w:rsidR="00C23DCB">
        <w:rPr>
          <w:rFonts w:cs="Times New Roman"/>
          <w:sz w:val="24"/>
          <w:szCs w:val="24"/>
        </w:rPr>
        <w:t>y</w:t>
      </w:r>
      <w:r w:rsidRPr="00621537">
        <w:rPr>
          <w:rFonts w:cs="Times New Roman"/>
          <w:sz w:val="24"/>
          <w:szCs w:val="24"/>
        </w:rPr>
        <w:t xml:space="preserve"> AD, although we can only speculate on the circumstances of its creation; everything that we can say about it and its author comes from inferences from the text itself.</w:t>
      </w:r>
      <w:r w:rsidRPr="00621537">
        <w:rPr>
          <w:rStyle w:val="FootnoteReference"/>
          <w:rFonts w:cs="Times New Roman"/>
        </w:rPr>
        <w:footnoteReference w:id="29"/>
      </w:r>
      <w:r w:rsidRPr="00621537">
        <w:rPr>
          <w:rFonts w:cs="Times New Roman"/>
          <w:sz w:val="24"/>
          <w:szCs w:val="24"/>
        </w:rPr>
        <w:t xml:space="preserve"> Antoninus displays a deep knowledge of the poetic tradition, which he reworks with great originality. This point is important; too often mythographers are denigrated as mere compilers of others’ stories; in fact, Antoninus seems at times to be playing an intertextual game between the Greek tradition and Ovidian poetics.</w:t>
      </w:r>
      <w:r w:rsidRPr="00621537">
        <w:rPr>
          <w:rStyle w:val="FootnoteReference"/>
          <w:rFonts w:cs="Times New Roman"/>
        </w:rPr>
        <w:footnoteReference w:id="30"/>
      </w:r>
      <w:r w:rsidRPr="00621537">
        <w:rPr>
          <w:rFonts w:cs="Times New Roman"/>
          <w:sz w:val="24"/>
          <w:szCs w:val="24"/>
        </w:rPr>
        <w:t xml:space="preserve"> </w:t>
      </w:r>
    </w:p>
    <w:p w14:paraId="54C25DFB" w14:textId="40FB9B38" w:rsidR="000B40D3" w:rsidRPr="00621537" w:rsidRDefault="00C23DCB" w:rsidP="000B40D3">
      <w:pPr>
        <w:spacing w:line="480" w:lineRule="auto"/>
        <w:jc w:val="both"/>
        <w:rPr>
          <w:rFonts w:cs="Times New Roman"/>
          <w:sz w:val="24"/>
          <w:szCs w:val="24"/>
        </w:rPr>
      </w:pPr>
      <w:r>
        <w:rPr>
          <w:rFonts w:cs="Times New Roman"/>
          <w:sz w:val="24"/>
          <w:szCs w:val="24"/>
        </w:rPr>
        <w:tab/>
      </w:r>
      <w:r w:rsidR="000B40D3" w:rsidRPr="00621537">
        <w:rPr>
          <w:rFonts w:cs="Times New Roman"/>
          <w:sz w:val="24"/>
          <w:szCs w:val="24"/>
        </w:rPr>
        <w:t xml:space="preserve">Significantly for our purposes in this article, the </w:t>
      </w:r>
      <w:r w:rsidR="000B40D3" w:rsidRPr="00621537">
        <w:rPr>
          <w:rFonts w:cs="Times New Roman"/>
          <w:i/>
          <w:iCs/>
          <w:sz w:val="24"/>
          <w:szCs w:val="24"/>
        </w:rPr>
        <w:t>Metamorphoses</w:t>
      </w:r>
      <w:r w:rsidR="000B40D3" w:rsidRPr="00621537">
        <w:rPr>
          <w:rFonts w:cs="Times New Roman"/>
          <w:sz w:val="24"/>
          <w:szCs w:val="24"/>
        </w:rPr>
        <w:t xml:space="preserve"> survives in a single manuscript, </w:t>
      </w:r>
      <w:r w:rsidR="000B40D3" w:rsidRPr="00621537">
        <w:rPr>
          <w:rFonts w:cs="Times New Roman"/>
          <w:i/>
          <w:sz w:val="24"/>
          <w:szCs w:val="24"/>
        </w:rPr>
        <w:t>Palatinus Graecus</w:t>
      </w:r>
      <w:r w:rsidR="000B40D3" w:rsidRPr="00621537">
        <w:rPr>
          <w:rFonts w:cs="Times New Roman"/>
          <w:sz w:val="24"/>
          <w:szCs w:val="24"/>
        </w:rPr>
        <w:t xml:space="preserve"> 398, which was produced in Constantinople in the second half of the ninth century.</w:t>
      </w:r>
      <w:r w:rsidR="000B40D3" w:rsidRPr="00621537">
        <w:rPr>
          <w:rStyle w:val="FootnoteReference"/>
          <w:rFonts w:cs="Times New Roman"/>
        </w:rPr>
        <w:footnoteReference w:id="31"/>
      </w:r>
      <w:r w:rsidR="000B40D3" w:rsidRPr="00621537">
        <w:rPr>
          <w:rFonts w:cs="Times New Roman"/>
          <w:sz w:val="24"/>
          <w:szCs w:val="24"/>
        </w:rPr>
        <w:t xml:space="preserve"> This manuscript is not simply a repository for mythic data; its graphic forms shape every aspect of the reader’s experience, from the cadence of its punctuation to its overall organi</w:t>
      </w:r>
      <w:r w:rsidR="009C599F" w:rsidRPr="00621537">
        <w:rPr>
          <w:rFonts w:cs="Times New Roman"/>
          <w:sz w:val="24"/>
          <w:szCs w:val="24"/>
        </w:rPr>
        <w:t>z</w:t>
      </w:r>
      <w:r w:rsidR="000B40D3" w:rsidRPr="00621537">
        <w:rPr>
          <w:rFonts w:cs="Times New Roman"/>
          <w:sz w:val="24"/>
          <w:szCs w:val="24"/>
        </w:rPr>
        <w:t xml:space="preserve">ation. Its significance resides precisely in its particularity: because each has a specific form, no text can escape imposing meaning on the words it contains. Thus, </w:t>
      </w:r>
      <w:r w:rsidR="000B40D3" w:rsidRPr="00621537">
        <w:rPr>
          <w:rFonts w:cs="Times New Roman"/>
          <w:i/>
          <w:sz w:val="24"/>
          <w:szCs w:val="24"/>
        </w:rPr>
        <w:t>Palatinus Graecus</w:t>
      </w:r>
      <w:r w:rsidR="000B40D3" w:rsidRPr="00621537">
        <w:rPr>
          <w:rFonts w:cs="Times New Roman"/>
          <w:sz w:val="24"/>
          <w:szCs w:val="24"/>
        </w:rPr>
        <w:t xml:space="preserve"> 398 need not preserve the original form of Antoninus’ work on papyrus, nor writing practices in any way exceptional within its own social-historical context to nonetheless have interpretative value. It presents Antoninus’ text in a manner notedly at odds with our current mode of presenting mythographic writing, a mode which, for all its apparent neutrality, has erased other experiences of reading and replaced them with new ones.</w:t>
      </w:r>
      <w:r w:rsidR="000B40D3" w:rsidRPr="00621537">
        <w:rPr>
          <w:rStyle w:val="FootnoteReference"/>
          <w:rFonts w:cs="Times New Roman"/>
        </w:rPr>
        <w:footnoteReference w:id="32"/>
      </w:r>
    </w:p>
    <w:p w14:paraId="66F8075E" w14:textId="0F7E7CB4" w:rsidR="000B40D3" w:rsidRPr="00621537" w:rsidRDefault="00C23DCB" w:rsidP="000B40D3">
      <w:pPr>
        <w:spacing w:line="480" w:lineRule="auto"/>
        <w:jc w:val="both"/>
        <w:rPr>
          <w:rFonts w:cs="Times New Roman"/>
          <w:sz w:val="24"/>
          <w:szCs w:val="24"/>
        </w:rPr>
      </w:pPr>
      <w:r>
        <w:rPr>
          <w:rFonts w:cs="Times New Roman"/>
          <w:sz w:val="24"/>
          <w:szCs w:val="24"/>
        </w:rPr>
        <w:tab/>
      </w:r>
      <w:r w:rsidR="000B40D3" w:rsidRPr="00621537">
        <w:rPr>
          <w:rFonts w:cs="Times New Roman"/>
          <w:sz w:val="24"/>
          <w:szCs w:val="24"/>
        </w:rPr>
        <w:t xml:space="preserve">The </w:t>
      </w:r>
      <w:r w:rsidR="000B40D3" w:rsidRPr="00621537">
        <w:rPr>
          <w:rFonts w:cs="Times New Roman"/>
          <w:i/>
          <w:sz w:val="24"/>
          <w:szCs w:val="24"/>
        </w:rPr>
        <w:t xml:space="preserve">Metamorphoses </w:t>
      </w:r>
      <w:r w:rsidR="000B40D3" w:rsidRPr="00621537">
        <w:rPr>
          <w:rFonts w:cs="Times New Roman"/>
          <w:sz w:val="24"/>
          <w:szCs w:val="24"/>
        </w:rPr>
        <w:t>comprises 41 brief entries, each narrating a different story of transformation. The discrete nature of the entries is underlined by the absence of cross-references between them.</w:t>
      </w:r>
      <w:r w:rsidR="000B40D3" w:rsidRPr="00621537">
        <w:rPr>
          <w:rStyle w:val="FootnoteReference"/>
          <w:rFonts w:cs="Times New Roman"/>
        </w:rPr>
        <w:footnoteReference w:id="33"/>
      </w:r>
      <w:r w:rsidR="000B40D3" w:rsidRPr="00621537">
        <w:rPr>
          <w:rFonts w:cs="Times New Roman"/>
          <w:sz w:val="24"/>
          <w:szCs w:val="24"/>
        </w:rPr>
        <w:t xml:space="preserve"> Entries typically begin by introducing a central character who is named, and then defined by his or her relationship to others (patronymics are common) and/or individual qualities. Almost invariably, placenames – or proxies for these – are used to further individuate characters. Here is for example the beginning of the first entry:</w:t>
      </w:r>
    </w:p>
    <w:p w14:paraId="543F9CB4" w14:textId="77777777" w:rsidR="000B40D3" w:rsidRPr="00621537" w:rsidRDefault="000B40D3" w:rsidP="000B40D3">
      <w:pPr>
        <w:spacing w:line="480" w:lineRule="auto"/>
        <w:ind w:left="720"/>
        <w:jc w:val="both"/>
        <w:rPr>
          <w:rFonts w:cs="Times New Roman"/>
          <w:sz w:val="24"/>
          <w:szCs w:val="24"/>
        </w:rPr>
      </w:pPr>
      <w:r w:rsidRPr="00621537">
        <w:rPr>
          <w:rFonts w:cs="Times New Roman"/>
          <w:sz w:val="24"/>
          <w:szCs w:val="24"/>
        </w:rPr>
        <w:t>Κτήσυλλα ἐγένετο Κεία τὸ γένος ἐξ Ἰουλίδος Ἀλκιδάμαντος θυγάτηρ. ταύτην ἰδὼν Ἑρμοχάρης Ἀθηναῖος χορεύουσαν Πυθίοις παρὰ τὸν βωμὸν τοῦ Ἀπόλλωνος ἐν Καρθαίᾳ ἐπεθύμησεν αὐτῆς</w:t>
      </w:r>
      <w:r w:rsidR="00F00EFD">
        <w:rPr>
          <w:rFonts w:cs="Times New Roman"/>
          <w:sz w:val="24"/>
          <w:szCs w:val="24"/>
        </w:rPr>
        <w:t xml:space="preserve"> </w:t>
      </w:r>
      <w:r w:rsidRPr="00621537">
        <w:rPr>
          <w:rFonts w:cs="Times New Roman"/>
          <w:sz w:val="24"/>
          <w:szCs w:val="24"/>
        </w:rPr>
        <w:t>…</w:t>
      </w:r>
    </w:p>
    <w:p w14:paraId="276B9363" w14:textId="77777777" w:rsidR="000B40D3" w:rsidRPr="00621537" w:rsidRDefault="000B40D3" w:rsidP="000B40D3">
      <w:pPr>
        <w:spacing w:line="480" w:lineRule="auto"/>
        <w:ind w:left="720"/>
        <w:jc w:val="both"/>
        <w:rPr>
          <w:rFonts w:cs="Times New Roman"/>
          <w:sz w:val="24"/>
          <w:szCs w:val="24"/>
        </w:rPr>
      </w:pPr>
      <w:r w:rsidRPr="00621537">
        <w:rPr>
          <w:rFonts w:cs="Times New Roman"/>
          <w:sz w:val="24"/>
          <w:szCs w:val="24"/>
        </w:rPr>
        <w:t>Ctesylla was Cean by birth, from the city of Iulis, and Alcidamas was her father. Hermochares, an Athenian, saw her dancing around the altar of Apollo during the Pythian festival at Carthaea and fell in love with her</w:t>
      </w:r>
      <w:r w:rsidR="00F00EFD">
        <w:rPr>
          <w:rFonts w:cs="Times New Roman"/>
          <w:sz w:val="24"/>
          <w:szCs w:val="24"/>
        </w:rPr>
        <w:t xml:space="preserve"> </w:t>
      </w:r>
      <w:r w:rsidRPr="00621537">
        <w:rPr>
          <w:rFonts w:cs="Times New Roman"/>
          <w:sz w:val="24"/>
          <w:szCs w:val="24"/>
        </w:rPr>
        <w:t>…</w:t>
      </w:r>
    </w:p>
    <w:p w14:paraId="65020951" w14:textId="6AFB19D4" w:rsidR="000B40D3" w:rsidRPr="00621537" w:rsidRDefault="000B40D3" w:rsidP="000B40D3">
      <w:pPr>
        <w:spacing w:line="480" w:lineRule="auto"/>
        <w:jc w:val="both"/>
        <w:rPr>
          <w:rFonts w:cs="Times New Roman"/>
          <w:iCs/>
          <w:sz w:val="24"/>
          <w:szCs w:val="24"/>
          <w:lang w:val="en-GB"/>
        </w:rPr>
      </w:pPr>
      <w:r w:rsidRPr="00621537">
        <w:rPr>
          <w:rFonts w:cs="Times New Roman"/>
          <w:iCs/>
          <w:sz w:val="24"/>
          <w:szCs w:val="24"/>
        </w:rPr>
        <w:t>Considering the text as a purely verbal phenomenon, this dense clustering of identi</w:t>
      </w:r>
      <w:r w:rsidRPr="00621537">
        <w:rPr>
          <w:rFonts w:cs="Times New Roman"/>
          <w:iCs/>
          <w:sz w:val="24"/>
          <w:szCs w:val="24"/>
          <w:lang w:val="en-GB"/>
        </w:rPr>
        <w:t>fying nouns and adjectives orients the reader efficiently in a new storyworld. It marks the starting point of a narrative arc, and</w:t>
      </w:r>
      <w:r w:rsidR="00F00EFD">
        <w:rPr>
          <w:rFonts w:cs="Times New Roman"/>
          <w:iCs/>
          <w:sz w:val="24"/>
          <w:szCs w:val="24"/>
          <w:lang w:val="en-GB"/>
        </w:rPr>
        <w:t>,</w:t>
      </w:r>
      <w:r w:rsidRPr="00621537">
        <w:rPr>
          <w:rFonts w:cs="Times New Roman"/>
          <w:iCs/>
          <w:sz w:val="24"/>
          <w:szCs w:val="24"/>
          <w:lang w:val="en-GB"/>
        </w:rPr>
        <w:t xml:space="preserve"> as the collection progresses, signals simultaneously that the previous episode in now concluded. We recogni</w:t>
      </w:r>
      <w:r w:rsidR="00140276" w:rsidRPr="00621537">
        <w:rPr>
          <w:rFonts w:cs="Times New Roman"/>
          <w:iCs/>
          <w:sz w:val="24"/>
          <w:szCs w:val="24"/>
          <w:lang w:val="en-GB"/>
        </w:rPr>
        <w:t>z</w:t>
      </w:r>
      <w:r w:rsidRPr="00621537">
        <w:rPr>
          <w:rFonts w:cs="Times New Roman"/>
          <w:iCs/>
          <w:sz w:val="24"/>
          <w:szCs w:val="24"/>
          <w:lang w:val="en-GB"/>
        </w:rPr>
        <w:t>e when we have arrived at the end of the story of Ctesylla when the next sentence introduces ‘Oeneus, son of Portheus, son of Ares’ (</w:t>
      </w:r>
      <w:r w:rsidRPr="00621537">
        <w:rPr>
          <w:rFonts w:cs="Times New Roman"/>
          <w:sz w:val="24"/>
          <w:szCs w:val="24"/>
        </w:rPr>
        <w:t>Οἰνεὺς ὁ Πορθέως τοῦ Ἄρεως</w:t>
      </w:r>
      <w:r w:rsidRPr="00621537">
        <w:rPr>
          <w:rFonts w:cs="Times New Roman"/>
          <w:iCs/>
          <w:sz w:val="24"/>
          <w:szCs w:val="24"/>
          <w:lang w:val="en-GB"/>
        </w:rPr>
        <w:t>), ruler of Calydon. Oeneus is quite unrelated to Ctesylla, and so his name takes us into a new storyworld; there is not so much as a particle in this opening sentence to acknowledge what came before.</w:t>
      </w:r>
      <w:r w:rsidRPr="00621537">
        <w:rPr>
          <w:rStyle w:val="FootnoteReference"/>
          <w:rFonts w:cs="Times New Roman"/>
        </w:rPr>
        <w:footnoteReference w:id="34"/>
      </w:r>
      <w:r w:rsidR="004F5DA1">
        <w:rPr>
          <w:rFonts w:cs="Times New Roman"/>
          <w:iCs/>
          <w:sz w:val="24"/>
          <w:szCs w:val="24"/>
          <w:lang w:val="en-GB"/>
        </w:rPr>
        <w:t xml:space="preserve">  </w:t>
      </w:r>
      <w:r w:rsidRPr="00621537">
        <w:rPr>
          <w:rFonts w:cs="Times New Roman"/>
          <w:iCs/>
          <w:sz w:val="24"/>
          <w:szCs w:val="24"/>
          <w:lang w:val="en-GB"/>
        </w:rPr>
        <w:t xml:space="preserve"> </w:t>
      </w:r>
    </w:p>
    <w:p w14:paraId="2F7E164C" w14:textId="3E1AC8EA" w:rsidR="000B40D3" w:rsidRPr="00621537" w:rsidRDefault="00F00EFD" w:rsidP="000B40D3">
      <w:pPr>
        <w:spacing w:line="480" w:lineRule="auto"/>
        <w:jc w:val="both"/>
        <w:rPr>
          <w:rFonts w:cs="Times New Roman"/>
          <w:iCs/>
          <w:sz w:val="24"/>
          <w:szCs w:val="24"/>
          <w:lang w:val="en-GB"/>
        </w:rPr>
      </w:pPr>
      <w:r>
        <w:rPr>
          <w:rFonts w:cs="Times New Roman"/>
          <w:iCs/>
          <w:sz w:val="24"/>
          <w:szCs w:val="24"/>
          <w:lang w:val="en-GB"/>
        </w:rPr>
        <w:tab/>
      </w:r>
      <w:r w:rsidR="000B40D3" w:rsidRPr="00621537">
        <w:rPr>
          <w:rFonts w:cs="Times New Roman"/>
          <w:iCs/>
          <w:sz w:val="24"/>
          <w:szCs w:val="24"/>
          <w:lang w:val="en-GB"/>
        </w:rPr>
        <w:t xml:space="preserve">Graphically, the manuscript encourages the reader to understand the text in this way, with each entry the repository of a single, discrete narrative. It does this by highlighting proper nouns as markers: the name of the protagonist of each narrative is reproduced in the margin alongside the first line of the entry. These marginalia use capital letters, a striking contrast to the text itself, which features an early form of minuscule. So, beside the first line of the first entry (denoted as such with the number </w:t>
      </w:r>
      <w:r w:rsidR="000B40D3" w:rsidRPr="00621537">
        <w:rPr>
          <w:rFonts w:cs="Times New Roman"/>
          <w:iCs/>
          <w:sz w:val="24"/>
          <w:szCs w:val="24"/>
          <w:lang w:val="el-GR"/>
        </w:rPr>
        <w:t>α΄</w:t>
      </w:r>
      <w:r w:rsidR="000B40D3" w:rsidRPr="00621537">
        <w:rPr>
          <w:rFonts w:cs="Times New Roman"/>
          <w:iCs/>
          <w:sz w:val="24"/>
          <w:szCs w:val="24"/>
        </w:rPr>
        <w:t xml:space="preserve"> in majuscule</w:t>
      </w:r>
      <w:r w:rsidR="000B40D3" w:rsidRPr="00621537">
        <w:rPr>
          <w:rFonts w:cs="Times New Roman"/>
          <w:iCs/>
          <w:sz w:val="24"/>
          <w:szCs w:val="24"/>
          <w:lang w:val="en-GB"/>
        </w:rPr>
        <w:t xml:space="preserve">), we find </w:t>
      </w:r>
      <w:r w:rsidR="000B40D3" w:rsidRPr="00621537">
        <w:rPr>
          <w:rFonts w:cs="Times New Roman"/>
          <w:sz w:val="24"/>
          <w:szCs w:val="24"/>
          <w:lang w:val="fr-FR"/>
        </w:rPr>
        <w:t>ΚΤ</w:t>
      </w:r>
      <w:r w:rsidR="000B40D3" w:rsidRPr="00621537">
        <w:rPr>
          <w:rFonts w:cs="Times New Roman"/>
          <w:sz w:val="24"/>
          <w:szCs w:val="24"/>
          <w:lang w:val="en-US"/>
        </w:rPr>
        <w:t>Η</w:t>
      </w:r>
      <w:r w:rsidR="000B40D3" w:rsidRPr="00621537">
        <w:rPr>
          <w:rFonts w:cs="Times New Roman"/>
          <w:sz w:val="24"/>
          <w:szCs w:val="24"/>
          <w:lang w:val="fr-FR"/>
        </w:rPr>
        <w:t>ΣΥΛΛΑ</w:t>
      </w:r>
      <w:r w:rsidR="000B40D3" w:rsidRPr="00621537">
        <w:rPr>
          <w:rFonts w:cs="Times New Roman"/>
          <w:sz w:val="24"/>
          <w:szCs w:val="24"/>
        </w:rPr>
        <w:t xml:space="preserve"> repeated from the first word of the text itself (fig. 1).</w:t>
      </w:r>
    </w:p>
    <w:p w14:paraId="132A3921" w14:textId="77777777" w:rsidR="000B40D3" w:rsidRPr="00621537" w:rsidRDefault="000B40D3" w:rsidP="000B40D3">
      <w:pPr>
        <w:spacing w:line="480" w:lineRule="auto"/>
        <w:jc w:val="both"/>
        <w:rPr>
          <w:rFonts w:cs="Times New Roman"/>
          <w:sz w:val="24"/>
          <w:szCs w:val="24"/>
        </w:rPr>
      </w:pPr>
      <w:r w:rsidRPr="00621537">
        <w:rPr>
          <w:rFonts w:cs="Times New Roman"/>
          <w:noProof/>
          <w:sz w:val="24"/>
          <w:szCs w:val="24"/>
          <w:lang w:val="fr-FR" w:eastAsia="fr-FR"/>
        </w:rPr>
        <w:drawing>
          <wp:inline distT="0" distB="0" distL="0" distR="0" wp14:anchorId="0C0BA92D" wp14:editId="3665C810">
            <wp:extent cx="3632200" cy="457200"/>
            <wp:effectExtent l="2540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632200" cy="457200"/>
                    </a:xfrm>
                    <a:prstGeom prst="rect">
                      <a:avLst/>
                    </a:prstGeom>
                    <a:noFill/>
                    <a:ln w="9525">
                      <a:noFill/>
                      <a:miter lim="800000"/>
                      <a:headEnd/>
                      <a:tailEnd/>
                    </a:ln>
                  </pic:spPr>
                </pic:pic>
              </a:graphicData>
            </a:graphic>
          </wp:inline>
        </w:drawing>
      </w:r>
      <w:r w:rsidRPr="00621537">
        <w:rPr>
          <w:rFonts w:cs="Times New Roman"/>
          <w:sz w:val="24"/>
          <w:szCs w:val="24"/>
        </w:rPr>
        <w:t xml:space="preserve"> fig. 1</w:t>
      </w:r>
    </w:p>
    <w:p w14:paraId="55DE6075" w14:textId="55B90644" w:rsidR="000B40D3" w:rsidRPr="00621537" w:rsidRDefault="000B40D3" w:rsidP="000B40D3">
      <w:pPr>
        <w:spacing w:line="480" w:lineRule="auto"/>
        <w:jc w:val="both"/>
        <w:rPr>
          <w:rFonts w:cs="Times New Roman"/>
          <w:sz w:val="24"/>
          <w:szCs w:val="24"/>
        </w:rPr>
      </w:pPr>
      <w:r w:rsidRPr="00621537">
        <w:rPr>
          <w:rFonts w:cs="Times New Roman"/>
          <w:smallCaps/>
          <w:sz w:val="24"/>
          <w:szCs w:val="24"/>
        </w:rPr>
        <w:t>Κτησυλλα</w:t>
      </w:r>
      <w:r w:rsidR="004F5DA1">
        <w:rPr>
          <w:rFonts w:cs="Times New Roman"/>
          <w:sz w:val="24"/>
          <w:szCs w:val="24"/>
        </w:rPr>
        <w:t xml:space="preserve"> </w:t>
      </w:r>
      <w:r w:rsidRPr="00621537">
        <w:rPr>
          <w:rFonts w:cs="Times New Roman"/>
          <w:sz w:val="24"/>
          <w:szCs w:val="24"/>
        </w:rPr>
        <w:t xml:space="preserve"> (1)</w:t>
      </w:r>
      <w:r w:rsidR="004F5DA1">
        <w:rPr>
          <w:rFonts w:cs="Times New Roman"/>
          <w:sz w:val="24"/>
          <w:szCs w:val="24"/>
        </w:rPr>
        <w:t xml:space="preserve"> </w:t>
      </w:r>
      <w:r w:rsidRPr="00621537">
        <w:rPr>
          <w:rFonts w:cs="Times New Roman"/>
          <w:sz w:val="24"/>
          <w:szCs w:val="24"/>
        </w:rPr>
        <w:t xml:space="preserve"> Κτήσυλλα…</w:t>
      </w:r>
    </w:p>
    <w:p w14:paraId="4F274E8E" w14:textId="77777777" w:rsidR="000B40D3" w:rsidRPr="00621537" w:rsidRDefault="000B40D3" w:rsidP="000B40D3">
      <w:pPr>
        <w:spacing w:line="480" w:lineRule="auto"/>
        <w:jc w:val="both"/>
        <w:rPr>
          <w:rFonts w:cs="Times New Roman"/>
          <w:sz w:val="24"/>
          <w:szCs w:val="24"/>
        </w:rPr>
      </w:pPr>
      <w:r w:rsidRPr="00621537">
        <w:rPr>
          <w:rFonts w:cs="Times New Roman"/>
          <w:sz w:val="24"/>
          <w:szCs w:val="24"/>
        </w:rPr>
        <w:t xml:space="preserve">This convention does not merely replicate mechanically the first proper noun encountered in the entry; it encourages fuller narrative comprehension. Thus, the beginning of the second entry, which introduces Oineus, is marked by </w:t>
      </w:r>
      <w:r w:rsidRPr="00621537">
        <w:rPr>
          <w:rFonts w:cs="Times New Roman"/>
          <w:sz w:val="24"/>
          <w:szCs w:val="24"/>
          <w:lang w:val="el-GR"/>
        </w:rPr>
        <w:t>β΄</w:t>
      </w:r>
      <w:r w:rsidRPr="00621537">
        <w:rPr>
          <w:rFonts w:cs="Times New Roman"/>
          <w:sz w:val="24"/>
          <w:szCs w:val="24"/>
        </w:rPr>
        <w:t xml:space="preserve"> in the left margin and</w:t>
      </w:r>
      <w:r w:rsidRPr="00621537">
        <w:rPr>
          <w:rFonts w:cs="Times New Roman"/>
          <w:sz w:val="24"/>
          <w:szCs w:val="24"/>
          <w:lang w:val="en-US"/>
        </w:rPr>
        <w:t xml:space="preserve"> Μ</w:t>
      </w:r>
      <w:r w:rsidRPr="00621537">
        <w:rPr>
          <w:rFonts w:cs="Times New Roman"/>
          <w:sz w:val="24"/>
          <w:szCs w:val="24"/>
          <w:lang w:val="el-GR"/>
        </w:rPr>
        <w:t>ΕΛΕΑΓΡΙΔΕΣ</w:t>
      </w:r>
      <w:r w:rsidRPr="00621537">
        <w:rPr>
          <w:rFonts w:cs="Times New Roman"/>
          <w:sz w:val="24"/>
          <w:szCs w:val="24"/>
        </w:rPr>
        <w:t xml:space="preserve"> in the right (fig. 2); it is the sisters of Meleager, not Oineus, who undergo metamorphosis in this narrative, and so their collective name marks the beginning of the entry despite the fact that the reader will not encounter it again until near the end of the entry. </w:t>
      </w:r>
    </w:p>
    <w:p w14:paraId="31FD8690" w14:textId="77777777" w:rsidR="000B40D3" w:rsidRPr="00621537" w:rsidRDefault="000B40D3" w:rsidP="000B40D3">
      <w:pPr>
        <w:spacing w:line="480" w:lineRule="auto"/>
        <w:jc w:val="both"/>
        <w:rPr>
          <w:rFonts w:cs="Times New Roman"/>
          <w:sz w:val="24"/>
          <w:szCs w:val="24"/>
        </w:rPr>
      </w:pPr>
      <w:r w:rsidRPr="00621537">
        <w:rPr>
          <w:rFonts w:cs="Times New Roman"/>
          <w:noProof/>
          <w:sz w:val="24"/>
          <w:szCs w:val="24"/>
          <w:lang w:val="fr-FR" w:eastAsia="fr-FR"/>
        </w:rPr>
        <w:drawing>
          <wp:inline distT="0" distB="0" distL="0" distR="0" wp14:anchorId="79B8E7CC" wp14:editId="45A18315">
            <wp:extent cx="5731510" cy="256228"/>
            <wp:effectExtent l="25400" t="0" r="8890" b="0"/>
            <wp:docPr id="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5731510" cy="256228"/>
                    </a:xfrm>
                    <a:prstGeom prst="rect">
                      <a:avLst/>
                    </a:prstGeom>
                    <a:noFill/>
                    <a:ln w="9525">
                      <a:noFill/>
                      <a:miter lim="800000"/>
                      <a:headEnd/>
                      <a:tailEnd/>
                    </a:ln>
                  </pic:spPr>
                </pic:pic>
              </a:graphicData>
            </a:graphic>
          </wp:inline>
        </w:drawing>
      </w:r>
      <w:r w:rsidRPr="00621537">
        <w:rPr>
          <w:rFonts w:cs="Times New Roman"/>
          <w:sz w:val="24"/>
          <w:szCs w:val="24"/>
        </w:rPr>
        <w:t xml:space="preserve"> fig. 2</w:t>
      </w:r>
    </w:p>
    <w:p w14:paraId="66200825" w14:textId="20B0EA90" w:rsidR="000B40D3" w:rsidRPr="00621537" w:rsidRDefault="000B40D3" w:rsidP="000B40D3">
      <w:pPr>
        <w:spacing w:line="480" w:lineRule="auto"/>
        <w:jc w:val="both"/>
        <w:rPr>
          <w:rFonts w:cs="Times New Roman"/>
          <w:sz w:val="24"/>
          <w:szCs w:val="24"/>
        </w:rPr>
      </w:pPr>
      <w:r w:rsidRPr="00621537">
        <w:rPr>
          <w:rFonts w:cs="Times New Roman"/>
          <w:sz w:val="24"/>
          <w:szCs w:val="24"/>
        </w:rPr>
        <w:t>(2)</w:t>
      </w:r>
      <w:r w:rsidR="004F5DA1">
        <w:rPr>
          <w:rFonts w:cs="Times New Roman"/>
          <w:sz w:val="24"/>
          <w:szCs w:val="24"/>
        </w:rPr>
        <w:t xml:space="preserve">  </w:t>
      </w:r>
      <w:r w:rsidRPr="00621537">
        <w:rPr>
          <w:rFonts w:cs="Times New Roman"/>
          <w:sz w:val="24"/>
          <w:szCs w:val="24"/>
        </w:rPr>
        <w:t xml:space="preserve"> Κτήσυλλαν Ἑκαέργην: (end of §1)</w:t>
      </w:r>
      <w:r w:rsidR="004F5DA1">
        <w:rPr>
          <w:rFonts w:cs="Times New Roman"/>
          <w:sz w:val="24"/>
          <w:szCs w:val="24"/>
        </w:rPr>
        <w:t xml:space="preserve">      </w:t>
      </w:r>
      <w:r w:rsidRPr="00621537">
        <w:rPr>
          <w:rFonts w:cs="Times New Roman"/>
          <w:sz w:val="24"/>
          <w:szCs w:val="24"/>
        </w:rPr>
        <w:t xml:space="preserve"> Οἰνεὺς ὁ Πορθέως…</w:t>
      </w:r>
      <w:r w:rsidR="004F5DA1">
        <w:rPr>
          <w:rFonts w:cs="Times New Roman"/>
          <w:sz w:val="24"/>
          <w:szCs w:val="24"/>
        </w:rPr>
        <w:t xml:space="preserve">      </w:t>
      </w:r>
      <w:r w:rsidRPr="00621537">
        <w:rPr>
          <w:rFonts w:cs="Times New Roman"/>
          <w:smallCaps/>
          <w:sz w:val="24"/>
          <w:szCs w:val="24"/>
        </w:rPr>
        <w:t>Μελεαγρiδες</w:t>
      </w:r>
    </w:p>
    <w:p w14:paraId="75E5585E" w14:textId="77777777" w:rsidR="000B40D3" w:rsidRPr="00621537" w:rsidRDefault="000B40D3" w:rsidP="000B40D3">
      <w:pPr>
        <w:spacing w:line="480" w:lineRule="auto"/>
        <w:jc w:val="both"/>
        <w:rPr>
          <w:rFonts w:cs="Times New Roman"/>
          <w:iCs/>
          <w:sz w:val="24"/>
          <w:szCs w:val="24"/>
          <w:lang w:val="en-GB"/>
        </w:rPr>
      </w:pPr>
      <w:r w:rsidRPr="00621537">
        <w:rPr>
          <w:rFonts w:cs="Times New Roman"/>
          <w:iCs/>
          <w:sz w:val="24"/>
          <w:szCs w:val="24"/>
          <w:lang w:val="en-GB"/>
        </w:rPr>
        <w:t xml:space="preserve">We see, then, that there is a graphical formula running in parallel to the verbal one. Together these insist both on the unambiguous separation of narratives into their own entries and the coherent uniformity of the work as a whole. </w:t>
      </w:r>
    </w:p>
    <w:p w14:paraId="02599A61" w14:textId="3E2351E2" w:rsidR="000B40D3" w:rsidRPr="00621537" w:rsidRDefault="00F00EFD" w:rsidP="000B40D3">
      <w:pPr>
        <w:spacing w:line="480" w:lineRule="auto"/>
        <w:jc w:val="both"/>
        <w:rPr>
          <w:rFonts w:cs="Times New Roman"/>
          <w:iCs/>
          <w:sz w:val="24"/>
          <w:szCs w:val="24"/>
          <w:lang w:val="en-GB"/>
        </w:rPr>
      </w:pPr>
      <w:r>
        <w:rPr>
          <w:rFonts w:cs="Times New Roman"/>
          <w:sz w:val="24"/>
          <w:szCs w:val="24"/>
          <w:lang w:val="en-GB"/>
        </w:rPr>
        <w:tab/>
      </w:r>
      <w:r w:rsidR="000B40D3" w:rsidRPr="00621537">
        <w:rPr>
          <w:rFonts w:cs="Times New Roman"/>
          <w:sz w:val="24"/>
          <w:szCs w:val="24"/>
          <w:lang w:val="en-GB"/>
        </w:rPr>
        <w:t>This labelling of narratives with the name of the protagonist is just one example of how the copyist is able to reduce the text’s contents to specific schematic features to reveal its organi</w:t>
      </w:r>
      <w:r w:rsidR="00140276" w:rsidRPr="00621537">
        <w:rPr>
          <w:rFonts w:cs="Times New Roman"/>
          <w:sz w:val="24"/>
          <w:szCs w:val="24"/>
          <w:lang w:val="en-GB"/>
        </w:rPr>
        <w:t>z</w:t>
      </w:r>
      <w:r w:rsidR="000B40D3" w:rsidRPr="00621537">
        <w:rPr>
          <w:rFonts w:cs="Times New Roman"/>
          <w:sz w:val="24"/>
          <w:szCs w:val="24"/>
          <w:lang w:val="en-GB"/>
        </w:rPr>
        <w:t>ational architecture. Two tables of contents proceed the first entry.</w:t>
      </w:r>
      <w:r w:rsidR="000B40D3" w:rsidRPr="00621537">
        <w:rPr>
          <w:rStyle w:val="FootnoteReference"/>
          <w:rFonts w:cs="Times New Roman"/>
        </w:rPr>
        <w:footnoteReference w:id="35"/>
      </w:r>
      <w:r w:rsidR="000B40D3" w:rsidRPr="00621537">
        <w:rPr>
          <w:rFonts w:cs="Times New Roman"/>
          <w:sz w:val="24"/>
          <w:szCs w:val="24"/>
          <w:lang w:val="en-GB"/>
        </w:rPr>
        <w:t xml:space="preserve"> The second of these catalogues, for each of the (numbered) 41 entries, the name of the protagonist and the animal or natural feature into which he or she was transformed. Thus (fig. 3): </w:t>
      </w:r>
    </w:p>
    <w:p w14:paraId="42841BD5" w14:textId="77777777" w:rsidR="000B40D3" w:rsidRPr="00621537" w:rsidRDefault="000B40D3" w:rsidP="000B40D3">
      <w:pPr>
        <w:spacing w:line="480" w:lineRule="auto"/>
        <w:rPr>
          <w:rFonts w:cs="Times New Roman"/>
          <w:iCs/>
          <w:sz w:val="24"/>
          <w:szCs w:val="24"/>
          <w:lang w:val="en-GB"/>
        </w:rPr>
      </w:pPr>
      <w:r w:rsidRPr="00621537">
        <w:rPr>
          <w:rFonts w:cs="Times New Roman"/>
          <w:iCs/>
          <w:noProof/>
          <w:sz w:val="24"/>
          <w:szCs w:val="24"/>
          <w:lang w:val="fr-FR" w:eastAsia="fr-FR"/>
        </w:rPr>
        <w:drawing>
          <wp:inline distT="0" distB="0" distL="0" distR="0" wp14:anchorId="602E8DC6" wp14:editId="7501DA44">
            <wp:extent cx="2948728" cy="1567678"/>
            <wp:effectExtent l="25400" t="0" r="0" b="0"/>
            <wp:docPr id="8"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2953620" cy="1570279"/>
                    </a:xfrm>
                    <a:prstGeom prst="rect">
                      <a:avLst/>
                    </a:prstGeom>
                    <a:noFill/>
                    <a:ln w="9525">
                      <a:noFill/>
                      <a:miter lim="800000"/>
                      <a:headEnd/>
                      <a:tailEnd/>
                    </a:ln>
                  </pic:spPr>
                </pic:pic>
              </a:graphicData>
            </a:graphic>
          </wp:inline>
        </w:drawing>
      </w:r>
    </w:p>
    <w:p w14:paraId="612C94BE" w14:textId="77777777" w:rsidR="000B40D3" w:rsidRPr="00621537" w:rsidRDefault="000B40D3" w:rsidP="000B40D3">
      <w:pPr>
        <w:spacing w:line="360" w:lineRule="auto"/>
        <w:rPr>
          <w:rFonts w:cs="Times New Roman"/>
          <w:sz w:val="24"/>
          <w:szCs w:val="24"/>
          <w:lang w:val="en-GB"/>
        </w:rPr>
      </w:pPr>
      <w:r w:rsidRPr="00621537">
        <w:rPr>
          <w:rFonts w:cs="Times New Roman"/>
          <w:sz w:val="24"/>
          <w:szCs w:val="24"/>
          <w:lang w:val="en-GB"/>
        </w:rPr>
        <w:t>Col. 2</w:t>
      </w:r>
    </w:p>
    <w:p w14:paraId="0653301E" w14:textId="77777777" w:rsidR="000B40D3" w:rsidRPr="00621537" w:rsidRDefault="000B40D3" w:rsidP="000B40D3">
      <w:pPr>
        <w:spacing w:line="360" w:lineRule="auto"/>
        <w:rPr>
          <w:rFonts w:cs="Times New Roman"/>
          <w:sz w:val="24"/>
          <w:szCs w:val="24"/>
          <w:lang w:val="en-GB"/>
        </w:rPr>
      </w:pPr>
      <w:r w:rsidRPr="00621537">
        <w:rPr>
          <w:rFonts w:cs="Times New Roman"/>
          <w:sz w:val="24"/>
          <w:szCs w:val="24"/>
          <w:lang w:val="en-GB"/>
        </w:rPr>
        <w:t xml:space="preserve">A – </w:t>
      </w:r>
      <w:r w:rsidRPr="00621537">
        <w:rPr>
          <w:rFonts w:cs="Times New Roman"/>
          <w:sz w:val="24"/>
          <w:szCs w:val="24"/>
          <w:lang w:val="fr-FR"/>
        </w:rPr>
        <w:t>Κτήσυλλα</w:t>
      </w:r>
      <w:r w:rsidRPr="00621537">
        <w:rPr>
          <w:rFonts w:cs="Times New Roman"/>
          <w:sz w:val="24"/>
          <w:szCs w:val="24"/>
          <w:lang w:val="en-GB"/>
        </w:rPr>
        <w:t xml:space="preserve">. </w:t>
      </w:r>
      <w:r w:rsidRPr="00621537">
        <w:rPr>
          <w:rFonts w:cs="Times New Roman"/>
          <w:sz w:val="24"/>
          <w:szCs w:val="24"/>
          <w:lang w:val="fr-FR"/>
        </w:rPr>
        <w:t>εἰς</w:t>
      </w:r>
      <w:r w:rsidRPr="00621537">
        <w:rPr>
          <w:rFonts w:cs="Times New Roman"/>
          <w:sz w:val="24"/>
          <w:szCs w:val="24"/>
          <w:lang w:val="en-GB"/>
        </w:rPr>
        <w:t xml:space="preserve"> </w:t>
      </w:r>
      <w:r w:rsidRPr="00621537">
        <w:rPr>
          <w:rFonts w:cs="Times New Roman"/>
          <w:sz w:val="24"/>
          <w:szCs w:val="24"/>
          <w:lang w:val="fr-FR"/>
        </w:rPr>
        <w:t>πελιάδα</w:t>
      </w:r>
      <w:r w:rsidRPr="00621537">
        <w:rPr>
          <w:rFonts w:cs="Times New Roman"/>
          <w:sz w:val="24"/>
          <w:szCs w:val="24"/>
          <w:lang w:val="en-GB"/>
        </w:rPr>
        <w:t xml:space="preserve"> </w:t>
      </w:r>
      <w:r w:rsidRPr="00621537">
        <w:rPr>
          <w:rFonts w:cs="Times New Roman"/>
          <w:sz w:val="24"/>
          <w:szCs w:val="24"/>
          <w:lang w:val="fr-FR"/>
        </w:rPr>
        <w:t>μετ</w:t>
      </w:r>
      <w:r w:rsidRPr="00621537">
        <w:rPr>
          <w:rFonts w:cs="Times New Roman"/>
          <w:sz w:val="24"/>
          <w:szCs w:val="24"/>
          <w:lang w:val="en-US"/>
        </w:rPr>
        <w:t>ὰ</w:t>
      </w:r>
      <w:r w:rsidRPr="00621537">
        <w:rPr>
          <w:rFonts w:cs="Times New Roman"/>
          <w:sz w:val="24"/>
          <w:szCs w:val="24"/>
          <w:lang w:val="en-GB"/>
        </w:rPr>
        <w:t xml:space="preserve"> </w:t>
      </w:r>
      <w:r w:rsidRPr="00621537">
        <w:rPr>
          <w:rFonts w:cs="Times New Roman"/>
          <w:sz w:val="24"/>
          <w:szCs w:val="24"/>
          <w:lang w:val="fr-FR"/>
        </w:rPr>
        <w:t>θάνατον</w:t>
      </w:r>
      <w:r w:rsidRPr="00621537">
        <w:rPr>
          <w:rFonts w:cs="Times New Roman"/>
          <w:sz w:val="24"/>
          <w:szCs w:val="24"/>
          <w:lang w:val="en-GB"/>
        </w:rPr>
        <w:t>:</w:t>
      </w:r>
    </w:p>
    <w:p w14:paraId="4069A260" w14:textId="77777777" w:rsidR="000B40D3" w:rsidRPr="00621537" w:rsidRDefault="000B40D3" w:rsidP="000B40D3">
      <w:pPr>
        <w:spacing w:line="360" w:lineRule="auto"/>
        <w:rPr>
          <w:rFonts w:cs="Times New Roman"/>
          <w:sz w:val="24"/>
          <w:szCs w:val="24"/>
          <w:lang w:val="en-GB"/>
        </w:rPr>
      </w:pPr>
      <w:r w:rsidRPr="00621537">
        <w:rPr>
          <w:rFonts w:cs="Times New Roman"/>
          <w:sz w:val="24"/>
          <w:szCs w:val="24"/>
          <w:lang w:val="en-GB"/>
        </w:rPr>
        <w:t xml:space="preserve">B – </w:t>
      </w:r>
      <w:r w:rsidRPr="00621537">
        <w:rPr>
          <w:rFonts w:cs="Times New Roman"/>
          <w:sz w:val="24"/>
          <w:szCs w:val="24"/>
          <w:lang w:val="fr-FR"/>
        </w:rPr>
        <w:t>αἱ</w:t>
      </w:r>
      <w:r w:rsidRPr="00621537">
        <w:rPr>
          <w:rFonts w:cs="Times New Roman"/>
          <w:sz w:val="24"/>
          <w:szCs w:val="24"/>
          <w:lang w:val="en-GB"/>
        </w:rPr>
        <w:t xml:space="preserve"> </w:t>
      </w:r>
      <w:r w:rsidRPr="00621537">
        <w:rPr>
          <w:rFonts w:cs="Times New Roman"/>
          <w:sz w:val="24"/>
          <w:szCs w:val="24"/>
          <w:lang w:val="fr-FR"/>
        </w:rPr>
        <w:t>Μελεάγρου</w:t>
      </w:r>
      <w:r w:rsidRPr="00621537">
        <w:rPr>
          <w:rFonts w:cs="Times New Roman"/>
          <w:sz w:val="24"/>
          <w:szCs w:val="24"/>
          <w:lang w:val="en-GB"/>
        </w:rPr>
        <w:t xml:space="preserve"> </w:t>
      </w:r>
      <w:r w:rsidRPr="00621537">
        <w:rPr>
          <w:rFonts w:cs="Times New Roman"/>
          <w:sz w:val="24"/>
          <w:szCs w:val="24"/>
          <w:lang w:val="fr-FR"/>
        </w:rPr>
        <w:t>ἀδελφαὶ</w:t>
      </w:r>
      <w:r w:rsidRPr="00621537">
        <w:rPr>
          <w:rFonts w:cs="Times New Roman"/>
          <w:sz w:val="24"/>
          <w:szCs w:val="24"/>
          <w:lang w:val="en-GB"/>
        </w:rPr>
        <w:t xml:space="preserve">. </w:t>
      </w:r>
      <w:r w:rsidRPr="00621537">
        <w:rPr>
          <w:rFonts w:cs="Times New Roman"/>
          <w:sz w:val="24"/>
          <w:szCs w:val="24"/>
          <w:lang w:val="fr-FR"/>
        </w:rPr>
        <w:t>εἰς</w:t>
      </w:r>
      <w:r w:rsidRPr="00621537">
        <w:rPr>
          <w:rFonts w:cs="Times New Roman"/>
          <w:sz w:val="24"/>
          <w:szCs w:val="24"/>
          <w:lang w:val="en-GB"/>
        </w:rPr>
        <w:t xml:space="preserve"> </w:t>
      </w:r>
      <w:r w:rsidRPr="00621537">
        <w:rPr>
          <w:rFonts w:cs="Times New Roman"/>
          <w:sz w:val="24"/>
          <w:szCs w:val="24"/>
          <w:lang w:val="fr-FR"/>
        </w:rPr>
        <w:t>μελεαγρίδας</w:t>
      </w:r>
      <w:r w:rsidRPr="00621537">
        <w:rPr>
          <w:rFonts w:cs="Times New Roman"/>
          <w:sz w:val="24"/>
          <w:szCs w:val="24"/>
          <w:lang w:val="en-GB"/>
        </w:rPr>
        <w:t>:</w:t>
      </w:r>
    </w:p>
    <w:p w14:paraId="2F870E8C" w14:textId="77777777" w:rsidR="000B40D3" w:rsidRPr="00621537" w:rsidRDefault="000B40D3" w:rsidP="000B40D3">
      <w:pPr>
        <w:spacing w:line="480" w:lineRule="auto"/>
        <w:rPr>
          <w:rFonts w:cs="Times New Roman"/>
          <w:sz w:val="24"/>
          <w:szCs w:val="24"/>
        </w:rPr>
      </w:pPr>
      <w:r w:rsidRPr="00621537">
        <w:rPr>
          <w:rFonts w:cs="Times New Roman"/>
          <w:sz w:val="24"/>
          <w:szCs w:val="24"/>
          <w:lang w:val="en-US"/>
        </w:rPr>
        <w:t xml:space="preserve">Γ – </w:t>
      </w:r>
      <w:r w:rsidRPr="00621537">
        <w:rPr>
          <w:rFonts w:cs="Times New Roman"/>
          <w:sz w:val="24"/>
          <w:szCs w:val="24"/>
          <w:lang w:val="fr-FR"/>
        </w:rPr>
        <w:t>Ἰέραξ</w:t>
      </w:r>
      <w:r w:rsidRPr="00621537">
        <w:rPr>
          <w:rFonts w:cs="Times New Roman"/>
          <w:sz w:val="24"/>
          <w:szCs w:val="24"/>
        </w:rPr>
        <w:t xml:space="preserve">. </w:t>
      </w:r>
      <w:r w:rsidRPr="00621537">
        <w:rPr>
          <w:rFonts w:cs="Times New Roman"/>
          <w:sz w:val="24"/>
          <w:szCs w:val="24"/>
          <w:lang w:val="fr-FR"/>
        </w:rPr>
        <w:t>εἰς</w:t>
      </w:r>
      <w:r w:rsidRPr="00621537">
        <w:rPr>
          <w:rFonts w:cs="Times New Roman"/>
          <w:sz w:val="24"/>
          <w:szCs w:val="24"/>
        </w:rPr>
        <w:t xml:space="preserve"> </w:t>
      </w:r>
      <w:r w:rsidRPr="00621537">
        <w:rPr>
          <w:rFonts w:cs="Times New Roman"/>
          <w:sz w:val="24"/>
          <w:szCs w:val="24"/>
          <w:lang w:val="fr-FR"/>
        </w:rPr>
        <w:t>ἰέρακα</w:t>
      </w:r>
      <w:r w:rsidRPr="00621537">
        <w:rPr>
          <w:rFonts w:cs="Times New Roman"/>
          <w:sz w:val="24"/>
          <w:szCs w:val="24"/>
        </w:rPr>
        <w:t>:</w:t>
      </w:r>
    </w:p>
    <w:p w14:paraId="6B45EA3F" w14:textId="77777777" w:rsidR="000B40D3" w:rsidRPr="00621537" w:rsidRDefault="000B40D3" w:rsidP="000B40D3">
      <w:pPr>
        <w:spacing w:line="480" w:lineRule="auto"/>
        <w:rPr>
          <w:rFonts w:cs="Times New Roman"/>
          <w:sz w:val="24"/>
          <w:szCs w:val="24"/>
        </w:rPr>
      </w:pPr>
      <w:r w:rsidRPr="00621537">
        <w:rPr>
          <w:rFonts w:cs="Times New Roman"/>
          <w:sz w:val="24"/>
          <w:szCs w:val="24"/>
          <w:lang w:val="en-US"/>
        </w:rPr>
        <w:t xml:space="preserve">1. </w:t>
      </w:r>
      <w:r w:rsidRPr="00621537">
        <w:rPr>
          <w:rFonts w:cs="Times New Roman"/>
          <w:sz w:val="24"/>
          <w:szCs w:val="24"/>
        </w:rPr>
        <w:t>Ctesylla; into a dove after death:</w:t>
      </w:r>
    </w:p>
    <w:p w14:paraId="74386779" w14:textId="77777777" w:rsidR="000B40D3" w:rsidRPr="00621537" w:rsidRDefault="000B40D3" w:rsidP="000B40D3">
      <w:pPr>
        <w:spacing w:line="480" w:lineRule="auto"/>
        <w:rPr>
          <w:rFonts w:cs="Times New Roman"/>
          <w:sz w:val="24"/>
          <w:szCs w:val="24"/>
        </w:rPr>
      </w:pPr>
      <w:r w:rsidRPr="00621537">
        <w:rPr>
          <w:rFonts w:cs="Times New Roman"/>
          <w:sz w:val="24"/>
          <w:szCs w:val="24"/>
        </w:rPr>
        <w:t>2. Meleagros’ sisters; into guinea fowls:</w:t>
      </w:r>
    </w:p>
    <w:p w14:paraId="32E67F13" w14:textId="77777777" w:rsidR="000B40D3" w:rsidRPr="00621537" w:rsidRDefault="000B40D3" w:rsidP="000B40D3">
      <w:pPr>
        <w:spacing w:line="480" w:lineRule="auto"/>
        <w:rPr>
          <w:rFonts w:cs="Times New Roman"/>
          <w:sz w:val="24"/>
          <w:szCs w:val="24"/>
        </w:rPr>
      </w:pPr>
      <w:r w:rsidRPr="00621537">
        <w:rPr>
          <w:rFonts w:cs="Times New Roman"/>
          <w:sz w:val="24"/>
          <w:szCs w:val="24"/>
        </w:rPr>
        <w:t>3. Hierax; into a hawk:</w:t>
      </w:r>
    </w:p>
    <w:p w14:paraId="4FA5C7F4" w14:textId="77777777" w:rsidR="000B40D3" w:rsidRPr="00621537" w:rsidRDefault="000B40D3" w:rsidP="000B40D3">
      <w:pPr>
        <w:spacing w:line="480" w:lineRule="auto"/>
        <w:rPr>
          <w:rFonts w:cs="Times New Roman"/>
          <w:sz w:val="24"/>
          <w:szCs w:val="24"/>
        </w:rPr>
      </w:pPr>
      <w:r w:rsidRPr="00621537">
        <w:rPr>
          <w:rFonts w:cs="Times New Roman"/>
          <w:sz w:val="24"/>
          <w:szCs w:val="24"/>
        </w:rPr>
        <w:t>etc.</w:t>
      </w:r>
    </w:p>
    <w:p w14:paraId="25F4C37E" w14:textId="77777777" w:rsidR="000B40D3" w:rsidRPr="00621537" w:rsidRDefault="000B40D3" w:rsidP="000B40D3">
      <w:pPr>
        <w:spacing w:line="480" w:lineRule="auto"/>
        <w:rPr>
          <w:rFonts w:cs="Times New Roman"/>
          <w:sz w:val="24"/>
          <w:szCs w:val="24"/>
        </w:rPr>
      </w:pPr>
      <w:r w:rsidRPr="00621537">
        <w:rPr>
          <w:rFonts w:cs="Times New Roman"/>
          <w:sz w:val="24"/>
          <w:szCs w:val="24"/>
        </w:rPr>
        <w:t xml:space="preserve">Once again, the copyist insists on discrete separation: </w:t>
      </w:r>
      <w:r w:rsidRPr="00621537">
        <w:rPr>
          <w:rFonts w:cs="Times New Roman"/>
          <w:iCs/>
          <w:sz w:val="24"/>
          <w:szCs w:val="24"/>
          <w:lang w:val="en-GB"/>
        </w:rPr>
        <w:t>the graphic layout and the punctuation (</w:t>
      </w:r>
      <w:r w:rsidRPr="00621537">
        <w:rPr>
          <w:rFonts w:cs="Times New Roman"/>
          <w:iCs/>
          <w:sz w:val="24"/>
          <w:szCs w:val="24"/>
        </w:rPr>
        <w:t xml:space="preserve">small dots after each name and </w:t>
      </w:r>
      <w:r w:rsidRPr="00621537">
        <w:rPr>
          <w:rFonts w:cs="Times New Roman"/>
          <w:iCs/>
          <w:sz w:val="24"/>
          <w:szCs w:val="24"/>
          <w:lang w:val="en-GB"/>
        </w:rPr>
        <w:t xml:space="preserve">double dots at the end of each entry) allow no ambiguity as to which content belongs to which entry. We will return to this table later, but for now it is sufficient to note that it charts these entries systematically, transforming full narratives into a regularized list of salient features. This is a cartographical rendering of the text: it replicates it with a notable inertness, leaving the stories in place, but ‘plotless’ without their particularities. It offers a stable notion of lay of this text that one </w:t>
      </w:r>
      <w:r w:rsidRPr="00621537">
        <w:rPr>
          <w:rFonts w:cs="Times New Roman"/>
          <w:sz w:val="24"/>
          <w:szCs w:val="24"/>
        </w:rPr>
        <w:t xml:space="preserve">can gaze down on and appreciate – seemingly – with a single cast of the eyes. </w:t>
      </w:r>
    </w:p>
    <w:p w14:paraId="28273301" w14:textId="4C335285" w:rsidR="000B40D3" w:rsidRPr="00621537" w:rsidRDefault="00E13793" w:rsidP="000B40D3">
      <w:pPr>
        <w:spacing w:line="480" w:lineRule="auto"/>
        <w:jc w:val="both"/>
        <w:rPr>
          <w:rFonts w:cs="Times New Roman"/>
          <w:sz w:val="24"/>
          <w:szCs w:val="24"/>
          <w:lang w:val="en-GB"/>
        </w:rPr>
      </w:pPr>
      <w:r>
        <w:rPr>
          <w:rFonts w:cs="Times New Roman"/>
          <w:iCs/>
          <w:sz w:val="24"/>
          <w:szCs w:val="24"/>
          <w:lang w:val="en-GB"/>
        </w:rPr>
        <w:tab/>
      </w:r>
      <w:r w:rsidR="000B40D3" w:rsidRPr="00621537">
        <w:rPr>
          <w:rFonts w:cs="Times New Roman"/>
          <w:iCs/>
          <w:sz w:val="24"/>
          <w:szCs w:val="24"/>
          <w:lang w:val="en-GB"/>
        </w:rPr>
        <w:t>Verbally and graphically, then, each of Antoninus’ entries is an island of knowledge: autonomous and self-contained.</w:t>
      </w:r>
      <w:r w:rsidR="000B40D3" w:rsidRPr="00621537">
        <w:rPr>
          <w:rStyle w:val="FootnoteReference"/>
          <w:rFonts w:cs="Times New Roman"/>
        </w:rPr>
        <w:footnoteReference w:id="36"/>
      </w:r>
      <w:r w:rsidR="000B40D3" w:rsidRPr="00621537">
        <w:rPr>
          <w:rFonts w:cs="Times New Roman"/>
          <w:sz w:val="24"/>
          <w:szCs w:val="24"/>
        </w:rPr>
        <w:t xml:space="preserve"> This impression of cartographically discontinuous space is encouraged in versions of the text encountered by the modern reader. </w:t>
      </w:r>
      <w:r w:rsidR="000B40D3" w:rsidRPr="00621537">
        <w:rPr>
          <w:rFonts w:cs="Times New Roman"/>
          <w:sz w:val="24"/>
          <w:szCs w:val="24"/>
          <w:lang w:val="en-GB"/>
        </w:rPr>
        <w:t>In M</w:t>
      </w:r>
      <w:r w:rsidR="00744B08">
        <w:rPr>
          <w:rFonts w:cs="Times New Roman"/>
          <w:sz w:val="24"/>
          <w:szCs w:val="24"/>
          <w:lang w:val="en-GB"/>
        </w:rPr>
        <w:t>anolis</w:t>
      </w:r>
      <w:r w:rsidR="000B40D3" w:rsidRPr="00621537">
        <w:rPr>
          <w:rFonts w:cs="Times New Roman"/>
          <w:sz w:val="24"/>
          <w:szCs w:val="24"/>
          <w:lang w:val="en-GB"/>
        </w:rPr>
        <w:t xml:space="preserve"> Papathomopoulos’ edition, as in the English translation of F</w:t>
      </w:r>
      <w:r w:rsidR="00744B08">
        <w:rPr>
          <w:rFonts w:cs="Times New Roman"/>
          <w:sz w:val="24"/>
          <w:szCs w:val="24"/>
          <w:lang w:val="en-GB"/>
        </w:rPr>
        <w:t>rancis</w:t>
      </w:r>
      <w:r w:rsidR="000B40D3" w:rsidRPr="00621537">
        <w:rPr>
          <w:rFonts w:cs="Times New Roman"/>
          <w:sz w:val="24"/>
          <w:szCs w:val="24"/>
          <w:lang w:val="en-GB"/>
        </w:rPr>
        <w:t xml:space="preserve"> Celoria, the copious white space of the page enhances the </w:t>
      </w:r>
      <w:r w:rsidR="000B40D3" w:rsidRPr="00621537">
        <w:rPr>
          <w:rFonts w:cs="Times New Roman"/>
          <w:i/>
          <w:sz w:val="24"/>
          <w:szCs w:val="24"/>
          <w:lang w:val="en-GB"/>
        </w:rPr>
        <w:t>Metamorphoses</w:t>
      </w:r>
      <w:r w:rsidR="000B40D3" w:rsidRPr="00621537">
        <w:rPr>
          <w:rFonts w:cs="Times New Roman"/>
          <w:sz w:val="24"/>
          <w:szCs w:val="24"/>
          <w:lang w:val="en-GB"/>
        </w:rPr>
        <w:t xml:space="preserve">’ insular qualities: each entry appears as a separate chapter and begins on a new page, with heading clearly demarcated in a distinct typeface. </w:t>
      </w:r>
      <w:r w:rsidR="000B40D3" w:rsidRPr="00621537">
        <w:rPr>
          <w:rFonts w:cs="Times New Roman"/>
          <w:sz w:val="24"/>
          <w:szCs w:val="24"/>
        </w:rPr>
        <w:t xml:space="preserve">Yet the manuscript has a quite different rhythm. Its graphical properties underscore a living sense of continuous movement: </w:t>
      </w:r>
      <w:r w:rsidR="000B40D3" w:rsidRPr="00621537">
        <w:rPr>
          <w:rFonts w:cs="Times New Roman"/>
          <w:sz w:val="24"/>
          <w:szCs w:val="24"/>
          <w:lang w:val="en-GB"/>
        </w:rPr>
        <w:t>letters are pressed against each other, the division of words is not always well defined, dots in the text and dashes in the margins quite literally create breathing space</w:t>
      </w:r>
      <w:r w:rsidR="000B40D3" w:rsidRPr="00621537">
        <w:rPr>
          <w:rStyle w:val="FootnoteReference"/>
          <w:rFonts w:cs="Times New Roman"/>
        </w:rPr>
        <w:footnoteReference w:id="37"/>
      </w:r>
      <w:r w:rsidR="000B40D3" w:rsidRPr="00621537">
        <w:rPr>
          <w:rFonts w:cs="Times New Roman"/>
          <w:sz w:val="24"/>
          <w:szCs w:val="24"/>
          <w:lang w:val="en-GB"/>
        </w:rPr>
        <w:t xml:space="preserve"> and only a punctuation mark and whatever white space is left at the end of the line separates one entry from the next (see fig. 2). What might be thought of as a static, long-mapped territory is enlivened by the itinerary of the </w:t>
      </w:r>
      <w:r w:rsidR="000B40D3" w:rsidRPr="00621537">
        <w:rPr>
          <w:rFonts w:cs="Times New Roman"/>
          <w:sz w:val="24"/>
          <w:szCs w:val="24"/>
        </w:rPr>
        <w:t xml:space="preserve">reader, moving </w:t>
      </w:r>
      <w:r w:rsidR="000B40D3" w:rsidRPr="00621537">
        <w:rPr>
          <w:rFonts w:cs="Times New Roman"/>
          <w:sz w:val="24"/>
          <w:szCs w:val="24"/>
          <w:lang w:val="en-GB"/>
        </w:rPr>
        <w:t xml:space="preserve">through these islands in turn. </w:t>
      </w:r>
    </w:p>
    <w:p w14:paraId="2D7B2B62" w14:textId="38EE40CD" w:rsidR="000B40D3" w:rsidRPr="00621537" w:rsidRDefault="00E13793" w:rsidP="000B40D3">
      <w:pPr>
        <w:spacing w:line="480" w:lineRule="auto"/>
        <w:jc w:val="both"/>
        <w:rPr>
          <w:rFonts w:cs="Times New Roman"/>
          <w:iCs/>
          <w:sz w:val="24"/>
          <w:szCs w:val="24"/>
          <w:lang w:val="en-GB"/>
        </w:rPr>
      </w:pPr>
      <w:r>
        <w:rPr>
          <w:rFonts w:cs="Times New Roman"/>
          <w:sz w:val="24"/>
          <w:szCs w:val="24"/>
          <w:lang w:val="en-GB"/>
        </w:rPr>
        <w:tab/>
      </w:r>
      <w:r w:rsidR="000B40D3" w:rsidRPr="00621537">
        <w:rPr>
          <w:rFonts w:cs="Times New Roman"/>
          <w:sz w:val="24"/>
          <w:szCs w:val="24"/>
          <w:lang w:val="en-GB"/>
        </w:rPr>
        <w:t xml:space="preserve">Such indirect hints of the hodological processes of reading are more difficult to identify than the cartographical properties of a text. We can staunchly catalogue the efforts of our copyist to mark up the </w:t>
      </w:r>
      <w:r w:rsidR="000B40D3" w:rsidRPr="00621537">
        <w:rPr>
          <w:rFonts w:cs="Times New Roman"/>
          <w:i/>
          <w:sz w:val="24"/>
          <w:szCs w:val="24"/>
          <w:lang w:val="en-GB"/>
        </w:rPr>
        <w:t>Metamorphoses</w:t>
      </w:r>
      <w:r w:rsidR="000B40D3" w:rsidRPr="00621537">
        <w:rPr>
          <w:rFonts w:cs="Times New Roman"/>
          <w:sz w:val="24"/>
          <w:szCs w:val="24"/>
          <w:lang w:val="en-GB"/>
        </w:rPr>
        <w:t>; less obvious is how these markers might shape an individual reader’s experience. Likewise, the presence of tables of contents makes visible the stable architecture of the text; less apparent is an observation following on from this, that such apparatus give the reader the ability to navigate autonomously and encounter its contents along new, idiomatic itineraries.</w:t>
      </w:r>
      <w:r w:rsidR="000B40D3" w:rsidRPr="00621537">
        <w:rPr>
          <w:rStyle w:val="FootnoteReference"/>
          <w:rFonts w:cs="Times New Roman"/>
        </w:rPr>
        <w:footnoteReference w:id="38"/>
      </w:r>
      <w:r w:rsidR="000B40D3" w:rsidRPr="00621537">
        <w:rPr>
          <w:rFonts w:cs="Times New Roman"/>
          <w:sz w:val="24"/>
          <w:szCs w:val="24"/>
          <w:lang w:val="en-GB"/>
        </w:rPr>
        <w:t xml:space="preserve"> This, then, is the tension at the heart of textual topography: for all the spatial weightiness of a text, the reader reads in </w:t>
      </w:r>
      <w:r w:rsidR="000B40D3" w:rsidRPr="00621537">
        <w:rPr>
          <w:rFonts w:cs="Times New Roman"/>
          <w:sz w:val="24"/>
          <w:szCs w:val="24"/>
        </w:rPr>
        <w:t>a time-bound, sequential manner.</w:t>
      </w:r>
      <w:r w:rsidR="000B40D3" w:rsidRPr="00621537">
        <w:rPr>
          <w:rStyle w:val="FootnoteReference"/>
          <w:rFonts w:cs="Times New Roman"/>
        </w:rPr>
        <w:footnoteReference w:id="39"/>
      </w:r>
      <w:r w:rsidR="000B40D3" w:rsidRPr="00621537">
        <w:rPr>
          <w:rFonts w:cs="Times New Roman"/>
          <w:sz w:val="24"/>
          <w:szCs w:val="24"/>
        </w:rPr>
        <w:t xml:space="preserve"> Antoninus Liberalis’ narratives exist both instantaneously, laid out next to each other in space, and linearly, with one word encountered after the next. We will return to this distinction later in this article.</w:t>
      </w:r>
    </w:p>
    <w:p w14:paraId="693C2524" w14:textId="77777777" w:rsidR="000B40D3" w:rsidRPr="00621537" w:rsidRDefault="000B40D3" w:rsidP="000B40D3">
      <w:pPr>
        <w:spacing w:line="480" w:lineRule="auto"/>
        <w:rPr>
          <w:rFonts w:cs="Times New Roman"/>
          <w:sz w:val="24"/>
          <w:szCs w:val="24"/>
        </w:rPr>
      </w:pPr>
    </w:p>
    <w:p w14:paraId="4369CE6A" w14:textId="46D85C0A" w:rsidR="000B40D3" w:rsidRPr="00621537" w:rsidRDefault="004F5DA1" w:rsidP="000B40D3">
      <w:pPr>
        <w:spacing w:line="480" w:lineRule="auto"/>
        <w:rPr>
          <w:rFonts w:cs="Times New Roman"/>
          <w:b/>
          <w:sz w:val="24"/>
          <w:szCs w:val="24"/>
        </w:rPr>
      </w:pPr>
      <w:r>
        <w:rPr>
          <w:rFonts w:cs="Times New Roman"/>
          <w:b/>
          <w:sz w:val="24"/>
          <w:szCs w:val="24"/>
        </w:rPr>
        <w:t>IV</w:t>
      </w:r>
      <w:r w:rsidR="000B40D3" w:rsidRPr="00621537">
        <w:rPr>
          <w:rFonts w:cs="Times New Roman"/>
          <w:b/>
          <w:sz w:val="24"/>
          <w:szCs w:val="24"/>
        </w:rPr>
        <w:t xml:space="preserve">. Topos II: the places of myth </w:t>
      </w:r>
    </w:p>
    <w:p w14:paraId="4D208768" w14:textId="62D08659" w:rsidR="000B40D3" w:rsidRPr="00621537" w:rsidRDefault="000B40D3" w:rsidP="000B40D3">
      <w:pPr>
        <w:spacing w:line="480" w:lineRule="auto"/>
        <w:jc w:val="both"/>
        <w:rPr>
          <w:rFonts w:cs="Times New Roman"/>
          <w:sz w:val="24"/>
          <w:szCs w:val="24"/>
          <w:lang w:val="en-GB"/>
        </w:rPr>
      </w:pPr>
      <w:r w:rsidRPr="00621537">
        <w:rPr>
          <w:rFonts w:cs="Times New Roman"/>
          <w:sz w:val="24"/>
          <w:szCs w:val="24"/>
          <w:lang w:val="en-GB"/>
        </w:rPr>
        <w:t>We have already seen that Antoninus uses toponyms in the verbal clusters at the beginning of each narrative. So, the first entry locali</w:t>
      </w:r>
      <w:r w:rsidR="00E63E37" w:rsidRPr="00621537">
        <w:rPr>
          <w:rFonts w:cs="Times New Roman"/>
          <w:sz w:val="24"/>
          <w:szCs w:val="24"/>
          <w:lang w:val="en-GB"/>
        </w:rPr>
        <w:t>z</w:t>
      </w:r>
      <w:r w:rsidRPr="00621537">
        <w:rPr>
          <w:rFonts w:cs="Times New Roman"/>
          <w:sz w:val="24"/>
          <w:szCs w:val="24"/>
          <w:lang w:val="en-GB"/>
        </w:rPr>
        <w:t>es the action on Ceos when Ctesylla, from Iulis, and Hermochares, from Athens, meet at the Sanctuary of Artemis at Carthaea.</w:t>
      </w:r>
      <w:r w:rsidR="004F5DA1">
        <w:rPr>
          <w:rFonts w:cs="Times New Roman"/>
          <w:sz w:val="24"/>
          <w:szCs w:val="24"/>
          <w:lang w:val="en-GB"/>
        </w:rPr>
        <w:t xml:space="preserve"> </w:t>
      </w:r>
      <w:r w:rsidRPr="00621537">
        <w:rPr>
          <w:rFonts w:cs="Times New Roman"/>
          <w:sz w:val="24"/>
          <w:szCs w:val="24"/>
          <w:lang w:val="en-GB"/>
        </w:rPr>
        <w:t>The story then inscribes an itinerary: the pair ultimately abscond to Athens, where they marry. Ctesylla dies in childbirth and her body is transformed into a dove. Hermochares visits an unnamed oracle</w:t>
      </w:r>
      <w:r w:rsidR="00E63E37" w:rsidRPr="00621537">
        <w:rPr>
          <w:rFonts w:cs="Times New Roman"/>
          <w:sz w:val="24"/>
          <w:szCs w:val="24"/>
          <w:lang w:val="en-GB"/>
        </w:rPr>
        <w:t xml:space="preserve"> </w:t>
      </w:r>
      <w:r w:rsidRPr="00621537">
        <w:rPr>
          <w:rFonts w:cs="Times New Roman"/>
          <w:sz w:val="24"/>
          <w:szCs w:val="24"/>
          <w:lang w:val="en-GB"/>
        </w:rPr>
        <w:t>and then returns to Iulis where he founds a temple in his wife’s honour. At first glance, it is tempting to understand these place-names as corresponding straightforwardly to places in the real world, as if Antoninus’ accuracy in naming Cean sites – the cities of Iulis and Carthaea, and the Artemisium</w:t>
      </w:r>
      <w:r w:rsidRPr="00621537">
        <w:rPr>
          <w:rStyle w:val="FootnoteReference"/>
          <w:rFonts w:cs="Times New Roman"/>
        </w:rPr>
        <w:footnoteReference w:id="40"/>
      </w:r>
      <w:r w:rsidRPr="00621537">
        <w:rPr>
          <w:rFonts w:cs="Times New Roman"/>
          <w:sz w:val="24"/>
          <w:szCs w:val="24"/>
          <w:lang w:val="en-GB"/>
        </w:rPr>
        <w:t xml:space="preserve"> – lends spatial precision to the events. The movements of the couple can be mapped in the mind’s eye, with the map created being more or less precise depending on the knowledge – empirical or otherwise – of the reader.</w:t>
      </w:r>
      <w:r w:rsidR="004F5DA1">
        <w:rPr>
          <w:rFonts w:cs="Times New Roman"/>
          <w:sz w:val="24"/>
          <w:szCs w:val="24"/>
          <w:lang w:val="en-GB"/>
        </w:rPr>
        <w:t xml:space="preserve"> </w:t>
      </w:r>
      <w:r w:rsidRPr="00621537">
        <w:rPr>
          <w:rFonts w:cs="Times New Roman"/>
          <w:sz w:val="24"/>
          <w:szCs w:val="24"/>
          <w:lang w:val="en-GB"/>
        </w:rPr>
        <w:t xml:space="preserve">But the text neither aids nor requires this. Place names need not refer to </w:t>
      </w:r>
      <w:r w:rsidRPr="00621537">
        <w:rPr>
          <w:rFonts w:cs="Times New Roman"/>
          <w:sz w:val="24"/>
          <w:szCs w:val="24"/>
        </w:rPr>
        <w:t xml:space="preserve">the </w:t>
      </w:r>
      <w:r w:rsidRPr="00621537">
        <w:rPr>
          <w:rFonts w:cs="Times New Roman"/>
          <w:i/>
          <w:iCs/>
          <w:sz w:val="24"/>
          <w:szCs w:val="24"/>
        </w:rPr>
        <w:t>realia</w:t>
      </w:r>
      <w:r w:rsidRPr="00621537">
        <w:rPr>
          <w:rFonts w:cs="Times New Roman"/>
          <w:sz w:val="24"/>
          <w:szCs w:val="24"/>
        </w:rPr>
        <w:t xml:space="preserve"> of Imperial geography; they can signify rather the cultured ‘world’ of Imperial paideia.</w:t>
      </w:r>
      <w:r w:rsidRPr="00621537">
        <w:rPr>
          <w:rStyle w:val="FootnoteReference"/>
          <w:rFonts w:cs="Times New Roman"/>
        </w:rPr>
        <w:footnoteReference w:id="41"/>
      </w:r>
      <w:r w:rsidRPr="00621537">
        <w:rPr>
          <w:rFonts w:cs="Times New Roman"/>
          <w:sz w:val="24"/>
          <w:szCs w:val="24"/>
        </w:rPr>
        <w:t xml:space="preserve"> </w:t>
      </w:r>
      <w:r w:rsidRPr="00621537">
        <w:rPr>
          <w:rFonts w:cs="Times New Roman"/>
          <w:sz w:val="24"/>
          <w:szCs w:val="24"/>
          <w:lang w:val="en-GB"/>
        </w:rPr>
        <w:t>Antoninus’ narrative in fact offers an experience of ‘geographical discontinuity’</w:t>
      </w:r>
      <w:r w:rsidRPr="00621537">
        <w:rPr>
          <w:rStyle w:val="FootnoteReference"/>
          <w:rFonts w:cs="Times New Roman"/>
        </w:rPr>
        <w:footnoteReference w:id="42"/>
      </w:r>
      <w:r w:rsidRPr="00621537">
        <w:rPr>
          <w:rFonts w:cs="Times New Roman"/>
          <w:sz w:val="24"/>
          <w:szCs w:val="24"/>
          <w:lang w:val="en-GB"/>
        </w:rPr>
        <w:t xml:space="preserve"> with toponyms creating micro-spaces within each entry. These micro-spaces do not intersect one another, but constitute units stacked side by side, isolated in the absence of any intrinsic, coherent guide to their relationships. </w:t>
      </w:r>
    </w:p>
    <w:p w14:paraId="79B1C5B6" w14:textId="0A15063E" w:rsidR="000B40D3" w:rsidRPr="00621537" w:rsidRDefault="004F5DA1" w:rsidP="000B40D3">
      <w:pPr>
        <w:spacing w:line="480" w:lineRule="auto"/>
        <w:jc w:val="both"/>
        <w:rPr>
          <w:rFonts w:cs="Times New Roman"/>
          <w:sz w:val="24"/>
          <w:szCs w:val="24"/>
          <w:lang w:val="en-GB"/>
        </w:rPr>
      </w:pPr>
      <w:r>
        <w:rPr>
          <w:rFonts w:cs="Times New Roman"/>
          <w:sz w:val="24"/>
          <w:szCs w:val="24"/>
          <w:lang w:val="en-GB"/>
        </w:rPr>
        <w:tab/>
      </w:r>
      <w:r w:rsidR="000B40D3" w:rsidRPr="00621537">
        <w:rPr>
          <w:rFonts w:cs="Times New Roman"/>
          <w:sz w:val="24"/>
          <w:szCs w:val="24"/>
          <w:lang w:val="en-GB"/>
        </w:rPr>
        <w:t>Place names do not merely designate places; they function also as cultural landmarks, markers associated with heroes, stories and cycles. So Ceos offers a narrative setting for the lovers’ story and not just a scenic one.</w:t>
      </w:r>
      <w:r>
        <w:rPr>
          <w:rFonts w:cs="Times New Roman"/>
          <w:sz w:val="24"/>
          <w:szCs w:val="24"/>
          <w:lang w:val="en-GB"/>
        </w:rPr>
        <w:t xml:space="preserve"> </w:t>
      </w:r>
      <w:r w:rsidR="000B40D3" w:rsidRPr="00621537">
        <w:rPr>
          <w:rFonts w:cs="Times New Roman"/>
          <w:sz w:val="24"/>
          <w:szCs w:val="24"/>
          <w:lang w:val="en-GB"/>
        </w:rPr>
        <w:t>Hermochares first attracts Ctesylla’s attention by throwing to her a note wrapped around an apple. Reading aloud the inscribed message, Ctesylla finds herself vowing publicly to marry the young man and ‘she flung the apple away, flushing red, and feeling angry that she had fallen for the same trick that Acontius had used on Cydippe.’</w:t>
      </w:r>
      <w:r w:rsidR="000B40D3" w:rsidRPr="00621537">
        <w:rPr>
          <w:rStyle w:val="FootnoteReference"/>
          <w:rFonts w:cs="Times New Roman"/>
        </w:rPr>
        <w:footnoteReference w:id="43"/>
      </w:r>
      <w:r w:rsidR="000B40D3" w:rsidRPr="00621537">
        <w:rPr>
          <w:rFonts w:cs="Times New Roman"/>
          <w:sz w:val="24"/>
          <w:szCs w:val="24"/>
          <w:lang w:val="en-GB"/>
        </w:rPr>
        <w:t xml:space="preserve"> Ctesylla has recogni</w:t>
      </w:r>
      <w:r w:rsidR="00E63E37" w:rsidRPr="00621537">
        <w:rPr>
          <w:rFonts w:cs="Times New Roman"/>
          <w:sz w:val="24"/>
          <w:szCs w:val="24"/>
          <w:lang w:val="en-GB"/>
        </w:rPr>
        <w:t>z</w:t>
      </w:r>
      <w:r w:rsidR="000B40D3" w:rsidRPr="00621537">
        <w:rPr>
          <w:rFonts w:cs="Times New Roman"/>
          <w:sz w:val="24"/>
          <w:szCs w:val="24"/>
          <w:lang w:val="en-GB"/>
        </w:rPr>
        <w:t xml:space="preserve">ed a ploy known from Callimachus’ </w:t>
      </w:r>
      <w:r w:rsidR="000B40D3" w:rsidRPr="00621537">
        <w:rPr>
          <w:rFonts w:cs="Times New Roman"/>
          <w:i/>
          <w:iCs/>
          <w:sz w:val="24"/>
          <w:szCs w:val="24"/>
          <w:lang w:val="en-GB"/>
        </w:rPr>
        <w:t>Aetia</w:t>
      </w:r>
      <w:r w:rsidR="000B40D3" w:rsidRPr="00621537">
        <w:rPr>
          <w:rFonts w:cs="Times New Roman"/>
          <w:sz w:val="24"/>
          <w:szCs w:val="24"/>
          <w:lang w:val="en-GB"/>
        </w:rPr>
        <w:t>. Callimachus set the story of Acontius and Cydippe on Delos, but Acontius was originally from Ceos – indeed from Iulis.</w:t>
      </w:r>
      <w:r w:rsidR="000B40D3" w:rsidRPr="00621537">
        <w:rPr>
          <w:rStyle w:val="FootnoteReference"/>
          <w:rFonts w:cs="Times New Roman"/>
        </w:rPr>
        <w:footnoteReference w:id="44"/>
      </w:r>
      <w:r w:rsidR="000B40D3" w:rsidRPr="00621537">
        <w:rPr>
          <w:rFonts w:cs="Times New Roman"/>
          <w:sz w:val="24"/>
          <w:szCs w:val="24"/>
          <w:lang w:val="en-GB"/>
        </w:rPr>
        <w:t xml:space="preserve"> The Athenian Hermochares replicated at Ceos what the Cean Acontius once did at Delos.</w:t>
      </w:r>
      <w:r>
        <w:rPr>
          <w:rFonts w:cs="Times New Roman"/>
          <w:sz w:val="24"/>
          <w:szCs w:val="24"/>
          <w:lang w:val="en-GB"/>
        </w:rPr>
        <w:t xml:space="preserve"> </w:t>
      </w:r>
    </w:p>
    <w:p w14:paraId="3AB5A46E" w14:textId="207424C0" w:rsidR="000B40D3" w:rsidRPr="00621537" w:rsidRDefault="004F5DA1" w:rsidP="000B40D3">
      <w:pPr>
        <w:spacing w:line="480" w:lineRule="auto"/>
        <w:jc w:val="both"/>
        <w:rPr>
          <w:rFonts w:eastAsia="Times New Roman" w:cs="Times New Roman"/>
          <w:sz w:val="24"/>
          <w:szCs w:val="24"/>
          <w:lang w:val="en-GB"/>
        </w:rPr>
      </w:pPr>
      <w:r>
        <w:rPr>
          <w:rFonts w:eastAsia="Times New Roman" w:cs="Times New Roman"/>
          <w:sz w:val="24"/>
          <w:szCs w:val="24"/>
          <w:lang w:val="en-GB"/>
        </w:rPr>
        <w:tab/>
      </w:r>
      <w:r w:rsidR="000B40D3" w:rsidRPr="00621537">
        <w:rPr>
          <w:rFonts w:eastAsia="Times New Roman" w:cs="Times New Roman"/>
          <w:sz w:val="24"/>
          <w:szCs w:val="24"/>
          <w:lang w:val="en-GB"/>
        </w:rPr>
        <w:t>‘Ceos’, then, is not just a Cycladic island; it is a collection of stories which begins, again according to Callimachus, with the Corycean nymphs, continues with the heroes Ceos and Demonax and the foundation of the four ancient cities, Carthaia, Ioulis, Poiessa and Coresia, then the story of Acontius’ trick.</w:t>
      </w:r>
      <w:r w:rsidR="000B40D3" w:rsidRPr="00621537">
        <w:rPr>
          <w:rStyle w:val="FootnoteReference"/>
          <w:rFonts w:cs="Times New Roman"/>
        </w:rPr>
        <w:footnoteReference w:id="45"/>
      </w:r>
      <w:r w:rsidR="000B40D3" w:rsidRPr="00621537">
        <w:rPr>
          <w:rFonts w:eastAsia="Times New Roman" w:cs="Times New Roman"/>
          <w:sz w:val="24"/>
          <w:szCs w:val="24"/>
          <w:lang w:val="en-GB"/>
        </w:rPr>
        <w:t xml:space="preserve"> To this existing cycle Antoninus now adds the tricking of Ctesylla. Place names organi</w:t>
      </w:r>
      <w:r w:rsidR="00E63E37" w:rsidRPr="00621537">
        <w:rPr>
          <w:rFonts w:eastAsia="Times New Roman" w:cs="Times New Roman"/>
          <w:sz w:val="24"/>
          <w:szCs w:val="24"/>
          <w:lang w:val="en-GB"/>
        </w:rPr>
        <w:t>z</w:t>
      </w:r>
      <w:r w:rsidR="000B40D3" w:rsidRPr="00621537">
        <w:rPr>
          <w:rFonts w:eastAsia="Times New Roman" w:cs="Times New Roman"/>
          <w:sz w:val="24"/>
          <w:szCs w:val="24"/>
          <w:lang w:val="en-GB"/>
        </w:rPr>
        <w:t xml:space="preserve">e textual relationships; like a library catalogue they reveal stories connected through analogy. Yet this Callimachean nexus reveals likewise how unstable these toponyms are that Antoninus relies on. It is not merely that Antoninus’ Hermochares and Ctesylla seem simply doubles of Callimachus’ Acontius and Cydippe; Callimachus’ Cean myth-history in the </w:t>
      </w:r>
      <w:r w:rsidR="000B40D3" w:rsidRPr="00621537">
        <w:rPr>
          <w:rFonts w:eastAsia="Times New Roman" w:cs="Times New Roman"/>
          <w:i/>
          <w:sz w:val="24"/>
          <w:szCs w:val="24"/>
          <w:lang w:val="en-GB"/>
        </w:rPr>
        <w:t xml:space="preserve">Aetia </w:t>
      </w:r>
      <w:r w:rsidR="000B40D3" w:rsidRPr="00621537">
        <w:rPr>
          <w:rFonts w:eastAsia="Times New Roman" w:cs="Times New Roman"/>
          <w:sz w:val="24"/>
          <w:szCs w:val="24"/>
          <w:lang w:val="en-GB"/>
        </w:rPr>
        <w:t>plays with the fluidity of names over time: indeed, the island had not always been ‘Ceos’, it had once been ‘Hydrussa’ (</w:t>
      </w:r>
      <w:r w:rsidR="00D3306C" w:rsidRPr="00633945">
        <w:rPr>
          <w:rFonts w:eastAsia="Times New Roman" w:cs="Times New Roman"/>
          <w:i/>
          <w:sz w:val="24"/>
          <w:szCs w:val="24"/>
          <w:lang w:val="en-GB"/>
        </w:rPr>
        <w:t>fr</w:t>
      </w:r>
      <w:r w:rsidR="000B40D3" w:rsidRPr="00621537">
        <w:rPr>
          <w:rFonts w:eastAsia="Times New Roman" w:cs="Times New Roman"/>
          <w:sz w:val="24"/>
          <w:szCs w:val="24"/>
          <w:lang w:val="en-GB"/>
        </w:rPr>
        <w:t xml:space="preserve">. 75, l. 58), and before that, at the time of the Corycian nymphs, presumably something else. Geographical referents in fact lack the stability and precision that Antoninus’ opening formulae would </w:t>
      </w:r>
      <w:r w:rsidR="000B40D3" w:rsidRPr="00621537">
        <w:rPr>
          <w:rFonts w:eastAsia="Times New Roman" w:cs="Times New Roman"/>
          <w:i/>
          <w:sz w:val="24"/>
          <w:szCs w:val="24"/>
          <w:lang w:val="en-GB"/>
        </w:rPr>
        <w:t>prima facie</w:t>
      </w:r>
      <w:r w:rsidR="000B40D3" w:rsidRPr="00621537">
        <w:rPr>
          <w:rFonts w:eastAsia="Times New Roman" w:cs="Times New Roman"/>
          <w:sz w:val="24"/>
          <w:szCs w:val="24"/>
          <w:lang w:val="en-GB"/>
        </w:rPr>
        <w:t xml:space="preserve"> suggest them to have; in adding another chapter to the story of Ceos, Antoninus, too, underscores the infinite capaciousness and malleability of narrative in a pliable world.</w:t>
      </w:r>
    </w:p>
    <w:p w14:paraId="63422E81" w14:textId="77777777" w:rsidR="000B40D3" w:rsidRPr="00621537" w:rsidRDefault="000B40D3" w:rsidP="000B40D3">
      <w:pPr>
        <w:spacing w:after="0" w:line="480" w:lineRule="auto"/>
        <w:rPr>
          <w:rFonts w:eastAsia="Times New Roman" w:cs="Times New Roman"/>
          <w:sz w:val="24"/>
          <w:szCs w:val="24"/>
        </w:rPr>
      </w:pPr>
    </w:p>
    <w:p w14:paraId="7CFEF230" w14:textId="3A30B597" w:rsidR="000B40D3" w:rsidRPr="00621537" w:rsidRDefault="004F5DA1" w:rsidP="000B40D3">
      <w:pPr>
        <w:spacing w:line="480" w:lineRule="auto"/>
        <w:rPr>
          <w:rFonts w:cs="Times New Roman"/>
          <w:b/>
          <w:sz w:val="24"/>
          <w:szCs w:val="24"/>
        </w:rPr>
      </w:pPr>
      <w:r>
        <w:rPr>
          <w:rFonts w:cs="Times New Roman"/>
          <w:b/>
          <w:sz w:val="24"/>
          <w:szCs w:val="24"/>
        </w:rPr>
        <w:t>V</w:t>
      </w:r>
      <w:r w:rsidR="000B40D3" w:rsidRPr="00621537">
        <w:rPr>
          <w:rFonts w:cs="Times New Roman"/>
          <w:b/>
          <w:sz w:val="24"/>
          <w:szCs w:val="24"/>
        </w:rPr>
        <w:t xml:space="preserve">. Topos III: narrative tropes </w:t>
      </w:r>
    </w:p>
    <w:p w14:paraId="5B9E07C8" w14:textId="41A5450C" w:rsidR="000B40D3" w:rsidRPr="00621537" w:rsidRDefault="000B40D3" w:rsidP="000B40D3">
      <w:pPr>
        <w:spacing w:line="480" w:lineRule="auto"/>
        <w:jc w:val="both"/>
        <w:rPr>
          <w:rFonts w:cs="Times New Roman"/>
          <w:sz w:val="24"/>
          <w:szCs w:val="24"/>
        </w:rPr>
      </w:pPr>
      <w:r w:rsidRPr="00621537">
        <w:rPr>
          <w:rFonts w:cs="Times New Roman"/>
          <w:sz w:val="24"/>
          <w:szCs w:val="24"/>
        </w:rPr>
        <w:t>We have seen now that Antoninus’ narratives, for all their straightforward style, intersect a common repertoire of cultural knowledge. A suitably</w:t>
      </w:r>
      <w:r w:rsidR="004F5DA1">
        <w:rPr>
          <w:rFonts w:cs="Times New Roman"/>
          <w:sz w:val="24"/>
          <w:szCs w:val="24"/>
        </w:rPr>
        <w:t xml:space="preserve"> </w:t>
      </w:r>
      <w:r w:rsidRPr="00621537">
        <w:rPr>
          <w:rFonts w:cs="Times New Roman"/>
          <w:sz w:val="24"/>
          <w:szCs w:val="24"/>
        </w:rPr>
        <w:t>knowledgeable reader will activate Antoninus’ hints and thus understand the text within a textual network that extends far beyond the physical object. We should observe, however, that narrative knowledge consists not merely in the ability to recall specific narrative accounts; it exists also in a culturally</w:t>
      </w:r>
      <w:r w:rsidR="004F5DA1">
        <w:rPr>
          <w:rFonts w:cs="Times New Roman"/>
          <w:sz w:val="24"/>
          <w:szCs w:val="24"/>
        </w:rPr>
        <w:t xml:space="preserve"> </w:t>
      </w:r>
      <w:r w:rsidRPr="00621537">
        <w:rPr>
          <w:rFonts w:cs="Times New Roman"/>
          <w:sz w:val="24"/>
          <w:szCs w:val="24"/>
        </w:rPr>
        <w:t xml:space="preserve">situated sensitivity for the workings of typical story-types. Thus, Nick Lowe observes that our experience of a particular plot is not like watching a ‘curtain roll </w:t>
      </w:r>
      <w:r w:rsidR="00595239" w:rsidRPr="00621537">
        <w:rPr>
          <w:rFonts w:cs="Times New Roman"/>
          <w:sz w:val="24"/>
          <w:szCs w:val="24"/>
        </w:rPr>
        <w:t xml:space="preserve">… </w:t>
      </w:r>
      <w:r w:rsidRPr="00621537">
        <w:rPr>
          <w:rFonts w:cs="Times New Roman"/>
          <w:sz w:val="24"/>
          <w:szCs w:val="24"/>
        </w:rPr>
        <w:t xml:space="preserve">back and expose </w:t>
      </w:r>
      <w:r w:rsidR="00595239" w:rsidRPr="00621537">
        <w:rPr>
          <w:rFonts w:cs="Times New Roman"/>
          <w:sz w:val="24"/>
          <w:szCs w:val="24"/>
        </w:rPr>
        <w:t xml:space="preserve">… </w:t>
      </w:r>
      <w:r w:rsidRPr="00621537">
        <w:rPr>
          <w:rFonts w:cs="Times New Roman"/>
          <w:sz w:val="24"/>
          <w:szCs w:val="24"/>
        </w:rPr>
        <w:t>everything to view an inch at a time’.</w:t>
      </w:r>
      <w:r w:rsidRPr="00621537">
        <w:rPr>
          <w:rStyle w:val="FootnoteReference"/>
          <w:rFonts w:cs="Times New Roman"/>
        </w:rPr>
        <w:footnoteReference w:id="46"/>
      </w:r>
      <w:r w:rsidRPr="00621537">
        <w:rPr>
          <w:rFonts w:cs="Times New Roman"/>
          <w:sz w:val="24"/>
          <w:szCs w:val="24"/>
        </w:rPr>
        <w:t xml:space="preserve"> Rather, we begin always with expectations of how it will unfold; narrative comprehension is thus ‘holographic’: it proceeds ‘from an initial blur to increasing focus and clarity’</w:t>
      </w:r>
      <w:r w:rsidRPr="00621537">
        <w:rPr>
          <w:rStyle w:val="FootnoteReference"/>
          <w:rFonts w:cs="Times New Roman"/>
        </w:rPr>
        <w:footnoteReference w:id="47"/>
      </w:r>
      <w:r w:rsidRPr="00621537">
        <w:rPr>
          <w:rFonts w:cs="Times New Roman"/>
          <w:sz w:val="24"/>
          <w:szCs w:val="24"/>
        </w:rPr>
        <w:t xml:space="preserve"> as we learn how this particular plot plays out against a generali</w:t>
      </w:r>
      <w:r w:rsidR="0072529D" w:rsidRPr="00621537">
        <w:rPr>
          <w:rFonts w:cs="Times New Roman"/>
          <w:sz w:val="24"/>
          <w:szCs w:val="24"/>
        </w:rPr>
        <w:t>z</w:t>
      </w:r>
      <w:r w:rsidRPr="00621537">
        <w:rPr>
          <w:rFonts w:cs="Times New Roman"/>
          <w:sz w:val="24"/>
          <w:szCs w:val="24"/>
        </w:rPr>
        <w:t xml:space="preserve">ed sense of typical narrative arcs. In essence, the reader dynamically processes what she is encountering in the moment and uses it to fill in – and sometimes modify – her model of the full narrative arc. Lowe’s holographic plot might be compared to Purves’ ‘complete cognitive map’ (described above) – it is likewise cast in notably spatial terms – but it </w:t>
      </w:r>
      <w:r w:rsidRPr="00621537">
        <w:rPr>
          <w:rFonts w:cs="Times New Roman"/>
          <w:i/>
          <w:sz w:val="24"/>
          <w:szCs w:val="24"/>
        </w:rPr>
        <w:t>pr</w:t>
      </w:r>
      <w:r w:rsidR="00DE2481">
        <w:rPr>
          <w:rFonts w:cs="Times New Roman"/>
          <w:i/>
          <w:sz w:val="24"/>
          <w:szCs w:val="24"/>
        </w:rPr>
        <w:t>e</w:t>
      </w:r>
      <w:r w:rsidRPr="00621537">
        <w:rPr>
          <w:rFonts w:cs="Times New Roman"/>
          <w:i/>
          <w:sz w:val="24"/>
          <w:szCs w:val="24"/>
        </w:rPr>
        <w:t>ced</w:t>
      </w:r>
      <w:r w:rsidR="00536F5D">
        <w:rPr>
          <w:rFonts w:cs="Times New Roman"/>
          <w:i/>
          <w:sz w:val="24"/>
          <w:szCs w:val="24"/>
        </w:rPr>
        <w:t>e</w:t>
      </w:r>
      <w:r w:rsidRPr="00621537">
        <w:rPr>
          <w:rFonts w:cs="Times New Roman"/>
          <w:i/>
          <w:sz w:val="24"/>
          <w:szCs w:val="24"/>
        </w:rPr>
        <w:t>s</w:t>
      </w:r>
      <w:r w:rsidRPr="00621537">
        <w:rPr>
          <w:rFonts w:cs="Times New Roman"/>
          <w:sz w:val="24"/>
          <w:szCs w:val="24"/>
        </w:rPr>
        <w:t xml:space="preserve"> encounters with a particular story, rather being produced by it. </w:t>
      </w:r>
    </w:p>
    <w:p w14:paraId="2BDE775B" w14:textId="23CDA793" w:rsidR="000B40D3" w:rsidRPr="00621537" w:rsidRDefault="004F5DA1" w:rsidP="000B40D3">
      <w:pPr>
        <w:spacing w:line="480" w:lineRule="auto"/>
        <w:jc w:val="both"/>
        <w:rPr>
          <w:rFonts w:eastAsia="Times New Roman" w:cs="Times New Roman"/>
          <w:sz w:val="24"/>
          <w:szCs w:val="24"/>
        </w:rPr>
      </w:pPr>
      <w:r>
        <w:rPr>
          <w:rFonts w:eastAsia="Times New Roman" w:cs="Times New Roman"/>
          <w:sz w:val="24"/>
          <w:szCs w:val="24"/>
        </w:rPr>
        <w:tab/>
      </w:r>
      <w:r w:rsidR="000B40D3" w:rsidRPr="00621537">
        <w:rPr>
          <w:rFonts w:eastAsia="Times New Roman" w:cs="Times New Roman"/>
          <w:sz w:val="24"/>
          <w:szCs w:val="24"/>
        </w:rPr>
        <w:t xml:space="preserve">The prevailing narrative arc of Antoninus’ collection is the metamorphosis story. </w:t>
      </w:r>
      <w:r w:rsidR="000B40D3" w:rsidRPr="00621537">
        <w:rPr>
          <w:rFonts w:eastAsia="Times New Roman" w:cs="Times New Roman"/>
          <w:sz w:val="24"/>
          <w:szCs w:val="24"/>
          <w:lang w:val="en-GB"/>
        </w:rPr>
        <w:t>The copyist’s second table of contents (described above) makes this clear in its synoptic accounting of the text’s contents in which each story is reduced to the vital information of the name of the protagonist and the result of his or her transformation. Defined in this way, we can find some logic in the ordering of the entries by further schemati</w:t>
      </w:r>
      <w:r>
        <w:rPr>
          <w:rFonts w:eastAsia="Times New Roman" w:cs="Times New Roman"/>
          <w:sz w:val="24"/>
          <w:szCs w:val="24"/>
          <w:lang w:val="en-GB"/>
        </w:rPr>
        <w:t>z</w:t>
      </w:r>
      <w:r w:rsidR="000B40D3" w:rsidRPr="00621537">
        <w:rPr>
          <w:rFonts w:eastAsia="Times New Roman" w:cs="Times New Roman"/>
          <w:sz w:val="24"/>
          <w:szCs w:val="24"/>
          <w:lang w:val="en-GB"/>
        </w:rPr>
        <w:t>ing the metamorphoses into categories (fig. 4). In the first half of the text, a pattern emerges in which groups of three of four avian transformations are separated by a single story of a metamorphosis into something else.</w:t>
      </w:r>
      <w:r w:rsidR="000B40D3" w:rsidRPr="00621537">
        <w:rPr>
          <w:rStyle w:val="FootnoteReference"/>
          <w:rFonts w:cs="Times New Roman"/>
        </w:rPr>
        <w:footnoteReference w:id="48"/>
      </w:r>
      <w:r w:rsidR="000B40D3" w:rsidRPr="00621537">
        <w:rPr>
          <w:rFonts w:eastAsia="Times New Roman" w:cs="Times New Roman"/>
          <w:sz w:val="24"/>
          <w:szCs w:val="24"/>
          <w:lang w:val="en-GB"/>
        </w:rPr>
        <w:t xml:space="preserve"> </w:t>
      </w:r>
    </w:p>
    <w:p w14:paraId="1095B3DB" w14:textId="77777777" w:rsidR="000B40D3" w:rsidRPr="00621537" w:rsidRDefault="000B40D3" w:rsidP="000B40D3">
      <w:pPr>
        <w:spacing w:line="480" w:lineRule="auto"/>
        <w:rPr>
          <w:rFonts w:cs="Times New Roman"/>
          <w:sz w:val="24"/>
          <w:szCs w:val="24"/>
          <w:lang w:val="fr-FR"/>
        </w:rPr>
      </w:pPr>
      <w:r w:rsidRPr="00621537">
        <w:rPr>
          <w:rFonts w:cs="Times New Roman"/>
          <w:sz w:val="24"/>
          <w:szCs w:val="24"/>
          <w:lang w:val="fr-FR"/>
        </w:rPr>
        <w:t xml:space="preserve">fig. 4 : Outcomes of metamorphoses. </w:t>
      </w:r>
    </w:p>
    <w:tbl>
      <w:tblPr>
        <w:tblW w:w="0" w:type="auto"/>
        <w:tblBorders>
          <w:insideV w:val="single" w:sz="4" w:space="0" w:color="auto"/>
        </w:tblBorders>
        <w:tblCellMar>
          <w:left w:w="70" w:type="dxa"/>
          <w:right w:w="70" w:type="dxa"/>
        </w:tblCellMar>
        <w:tblLook w:val="0000" w:firstRow="0" w:lastRow="0" w:firstColumn="0" w:lastColumn="0" w:noHBand="0" w:noVBand="0"/>
      </w:tblPr>
      <w:tblGrid>
        <w:gridCol w:w="820"/>
        <w:gridCol w:w="661"/>
        <w:gridCol w:w="1174"/>
      </w:tblGrid>
      <w:tr w:rsidR="000B40D3" w:rsidRPr="00621537" w14:paraId="015F8D8D" w14:textId="77777777">
        <w:tc>
          <w:tcPr>
            <w:tcW w:w="0" w:type="auto"/>
          </w:tcPr>
          <w:p w14:paraId="5A218B35" w14:textId="77777777" w:rsidR="000B40D3" w:rsidRPr="00621537" w:rsidRDefault="000B40D3" w:rsidP="00744B08">
            <w:pPr>
              <w:spacing w:line="480" w:lineRule="auto"/>
              <w:rPr>
                <w:rFonts w:cs="Times New Roman"/>
                <w:sz w:val="24"/>
                <w:szCs w:val="24"/>
                <w:lang w:val="fr-FR"/>
              </w:rPr>
            </w:pPr>
            <w:r w:rsidRPr="00621537">
              <w:rPr>
                <w:rFonts w:cs="Times New Roman"/>
                <w:sz w:val="24"/>
                <w:szCs w:val="24"/>
                <w:lang w:val="fr-FR"/>
              </w:rPr>
              <w:t>§1-3</w:t>
            </w:r>
          </w:p>
        </w:tc>
        <w:tc>
          <w:tcPr>
            <w:tcW w:w="0" w:type="auto"/>
          </w:tcPr>
          <w:p w14:paraId="53E6685D" w14:textId="77777777" w:rsidR="000B40D3" w:rsidRPr="00621537" w:rsidRDefault="000B40D3" w:rsidP="00744B08">
            <w:pPr>
              <w:spacing w:line="480" w:lineRule="auto"/>
              <w:rPr>
                <w:rFonts w:cs="Times New Roman"/>
                <w:sz w:val="24"/>
                <w:szCs w:val="24"/>
                <w:lang w:val="fr-FR"/>
              </w:rPr>
            </w:pPr>
            <w:r w:rsidRPr="00621537">
              <w:rPr>
                <w:rFonts w:cs="Times New Roman"/>
                <w:sz w:val="24"/>
                <w:szCs w:val="24"/>
                <w:lang w:val="fr-FR"/>
              </w:rPr>
              <w:t>Birds</w:t>
            </w:r>
          </w:p>
        </w:tc>
        <w:tc>
          <w:tcPr>
            <w:tcW w:w="0" w:type="auto"/>
          </w:tcPr>
          <w:p w14:paraId="493E9825" w14:textId="77777777" w:rsidR="000B40D3" w:rsidRPr="00621537" w:rsidRDefault="000B40D3" w:rsidP="00744B08">
            <w:pPr>
              <w:spacing w:line="480" w:lineRule="auto"/>
              <w:rPr>
                <w:rFonts w:cs="Times New Roman"/>
                <w:sz w:val="24"/>
                <w:szCs w:val="24"/>
                <w:lang w:val="fr-FR"/>
              </w:rPr>
            </w:pPr>
          </w:p>
        </w:tc>
      </w:tr>
      <w:tr w:rsidR="000B40D3" w:rsidRPr="00621537" w14:paraId="5672CF34" w14:textId="77777777">
        <w:tc>
          <w:tcPr>
            <w:tcW w:w="0" w:type="auto"/>
          </w:tcPr>
          <w:p w14:paraId="49C5FFFC" w14:textId="77777777" w:rsidR="000B40D3" w:rsidRPr="00621537" w:rsidRDefault="000B40D3" w:rsidP="00744B08">
            <w:pPr>
              <w:spacing w:line="480" w:lineRule="auto"/>
              <w:rPr>
                <w:rFonts w:cs="Times New Roman"/>
                <w:sz w:val="24"/>
                <w:szCs w:val="24"/>
                <w:lang w:val="fr-FR"/>
              </w:rPr>
            </w:pPr>
            <w:r w:rsidRPr="00621537">
              <w:rPr>
                <w:rFonts w:cs="Times New Roman"/>
                <w:sz w:val="24"/>
                <w:szCs w:val="24"/>
                <w:lang w:val="fr-FR"/>
              </w:rPr>
              <w:t>§4</w:t>
            </w:r>
          </w:p>
        </w:tc>
        <w:tc>
          <w:tcPr>
            <w:tcW w:w="0" w:type="auto"/>
          </w:tcPr>
          <w:p w14:paraId="4BFA555E" w14:textId="77777777" w:rsidR="000B40D3" w:rsidRPr="00621537" w:rsidRDefault="000B40D3" w:rsidP="00744B08">
            <w:pPr>
              <w:spacing w:line="480" w:lineRule="auto"/>
              <w:rPr>
                <w:rFonts w:cs="Times New Roman"/>
                <w:sz w:val="24"/>
                <w:szCs w:val="24"/>
                <w:lang w:val="fr-FR"/>
              </w:rPr>
            </w:pPr>
          </w:p>
        </w:tc>
        <w:tc>
          <w:tcPr>
            <w:tcW w:w="0" w:type="auto"/>
          </w:tcPr>
          <w:p w14:paraId="5DA9CEE3" w14:textId="77777777" w:rsidR="000B40D3" w:rsidRPr="00621537" w:rsidRDefault="000B40D3" w:rsidP="00744B08">
            <w:pPr>
              <w:spacing w:line="480" w:lineRule="auto"/>
              <w:rPr>
                <w:rFonts w:cs="Times New Roman"/>
                <w:sz w:val="24"/>
                <w:szCs w:val="24"/>
                <w:lang w:val="fr-FR"/>
              </w:rPr>
            </w:pPr>
            <w:r w:rsidRPr="00621537">
              <w:rPr>
                <w:rFonts w:cs="Times New Roman"/>
                <w:sz w:val="24"/>
                <w:szCs w:val="24"/>
                <w:lang w:val="fr-FR"/>
              </w:rPr>
              <w:t>Stone</w:t>
            </w:r>
          </w:p>
        </w:tc>
      </w:tr>
      <w:tr w:rsidR="000B40D3" w:rsidRPr="00621537" w14:paraId="26D2E9D9" w14:textId="77777777">
        <w:tc>
          <w:tcPr>
            <w:tcW w:w="0" w:type="auto"/>
          </w:tcPr>
          <w:p w14:paraId="0D83D795" w14:textId="77777777" w:rsidR="000B40D3" w:rsidRPr="00621537" w:rsidRDefault="000B40D3" w:rsidP="00744B08">
            <w:pPr>
              <w:spacing w:line="480" w:lineRule="auto"/>
              <w:rPr>
                <w:rFonts w:cs="Times New Roman"/>
                <w:sz w:val="24"/>
                <w:szCs w:val="24"/>
                <w:lang w:val="fr-FR"/>
              </w:rPr>
            </w:pPr>
            <w:r w:rsidRPr="00621537">
              <w:rPr>
                <w:rFonts w:cs="Times New Roman"/>
                <w:sz w:val="24"/>
                <w:szCs w:val="24"/>
                <w:lang w:val="fr-FR"/>
              </w:rPr>
              <w:t>§5-7</w:t>
            </w:r>
          </w:p>
        </w:tc>
        <w:tc>
          <w:tcPr>
            <w:tcW w:w="0" w:type="auto"/>
          </w:tcPr>
          <w:p w14:paraId="15F232DE" w14:textId="77777777" w:rsidR="000B40D3" w:rsidRPr="00621537" w:rsidRDefault="000B40D3" w:rsidP="00744B08">
            <w:pPr>
              <w:spacing w:line="480" w:lineRule="auto"/>
              <w:rPr>
                <w:rFonts w:cs="Times New Roman"/>
                <w:sz w:val="24"/>
                <w:szCs w:val="24"/>
                <w:lang w:val="fr-FR"/>
              </w:rPr>
            </w:pPr>
            <w:r w:rsidRPr="00621537">
              <w:rPr>
                <w:rFonts w:cs="Times New Roman"/>
                <w:sz w:val="24"/>
                <w:szCs w:val="24"/>
                <w:lang w:val="fr-FR"/>
              </w:rPr>
              <w:t xml:space="preserve">Birds </w:t>
            </w:r>
          </w:p>
        </w:tc>
        <w:tc>
          <w:tcPr>
            <w:tcW w:w="0" w:type="auto"/>
          </w:tcPr>
          <w:p w14:paraId="079629EC" w14:textId="77777777" w:rsidR="000B40D3" w:rsidRPr="00621537" w:rsidRDefault="000B40D3" w:rsidP="00744B08">
            <w:pPr>
              <w:spacing w:line="480" w:lineRule="auto"/>
              <w:rPr>
                <w:rFonts w:cs="Times New Roman"/>
                <w:sz w:val="24"/>
                <w:szCs w:val="24"/>
                <w:lang w:val="fr-FR"/>
              </w:rPr>
            </w:pPr>
          </w:p>
        </w:tc>
      </w:tr>
      <w:tr w:rsidR="000B40D3" w:rsidRPr="00621537" w14:paraId="5FB43AE6" w14:textId="77777777">
        <w:tc>
          <w:tcPr>
            <w:tcW w:w="0" w:type="auto"/>
          </w:tcPr>
          <w:p w14:paraId="0461FCA2" w14:textId="77777777" w:rsidR="000B40D3" w:rsidRPr="00621537" w:rsidRDefault="000B40D3" w:rsidP="00744B08">
            <w:pPr>
              <w:spacing w:line="480" w:lineRule="auto"/>
              <w:rPr>
                <w:rFonts w:cs="Times New Roman"/>
                <w:sz w:val="24"/>
                <w:szCs w:val="24"/>
                <w:lang w:val="fr-FR"/>
              </w:rPr>
            </w:pPr>
            <w:r w:rsidRPr="00621537">
              <w:rPr>
                <w:rFonts w:cs="Times New Roman"/>
                <w:sz w:val="24"/>
                <w:szCs w:val="24"/>
                <w:lang w:val="fr-FR"/>
              </w:rPr>
              <w:t>§8</w:t>
            </w:r>
          </w:p>
        </w:tc>
        <w:tc>
          <w:tcPr>
            <w:tcW w:w="0" w:type="auto"/>
          </w:tcPr>
          <w:p w14:paraId="3E257B50" w14:textId="77777777" w:rsidR="000B40D3" w:rsidRPr="00621537" w:rsidRDefault="000B40D3" w:rsidP="00744B08">
            <w:pPr>
              <w:spacing w:line="480" w:lineRule="auto"/>
              <w:rPr>
                <w:rFonts w:cs="Times New Roman"/>
                <w:sz w:val="24"/>
                <w:szCs w:val="24"/>
                <w:lang w:val="fr-FR"/>
              </w:rPr>
            </w:pPr>
          </w:p>
        </w:tc>
        <w:tc>
          <w:tcPr>
            <w:tcW w:w="0" w:type="auto"/>
          </w:tcPr>
          <w:p w14:paraId="3EF88933" w14:textId="77777777" w:rsidR="000B40D3" w:rsidRPr="00621537" w:rsidRDefault="000B40D3" w:rsidP="00744B08">
            <w:pPr>
              <w:spacing w:line="480" w:lineRule="auto"/>
              <w:rPr>
                <w:rFonts w:cs="Times New Roman"/>
                <w:sz w:val="24"/>
                <w:szCs w:val="24"/>
                <w:lang w:val="fr-FR"/>
              </w:rPr>
            </w:pPr>
            <w:r w:rsidRPr="00621537">
              <w:rPr>
                <w:rFonts w:cs="Times New Roman"/>
                <w:sz w:val="24"/>
                <w:szCs w:val="24"/>
                <w:lang w:val="fr-FR"/>
              </w:rPr>
              <w:t>Fountain</w:t>
            </w:r>
          </w:p>
        </w:tc>
      </w:tr>
      <w:tr w:rsidR="000B40D3" w:rsidRPr="00621537" w14:paraId="475B0FD1" w14:textId="77777777">
        <w:tc>
          <w:tcPr>
            <w:tcW w:w="0" w:type="auto"/>
          </w:tcPr>
          <w:p w14:paraId="20446D70" w14:textId="77777777" w:rsidR="000B40D3" w:rsidRPr="00621537" w:rsidRDefault="000B40D3" w:rsidP="00744B08">
            <w:pPr>
              <w:spacing w:line="480" w:lineRule="auto"/>
              <w:rPr>
                <w:rFonts w:cs="Times New Roman"/>
                <w:sz w:val="24"/>
                <w:szCs w:val="24"/>
                <w:lang w:val="fr-FR"/>
              </w:rPr>
            </w:pPr>
            <w:r w:rsidRPr="00621537">
              <w:rPr>
                <w:rFonts w:cs="Times New Roman"/>
                <w:sz w:val="24"/>
                <w:szCs w:val="24"/>
                <w:lang w:val="fr-FR"/>
              </w:rPr>
              <w:t>§9-12</w:t>
            </w:r>
          </w:p>
        </w:tc>
        <w:tc>
          <w:tcPr>
            <w:tcW w:w="0" w:type="auto"/>
          </w:tcPr>
          <w:p w14:paraId="7C271A08" w14:textId="77777777" w:rsidR="000B40D3" w:rsidRPr="00621537" w:rsidRDefault="000B40D3" w:rsidP="00744B08">
            <w:pPr>
              <w:spacing w:line="480" w:lineRule="auto"/>
              <w:rPr>
                <w:rFonts w:cs="Times New Roman"/>
                <w:sz w:val="24"/>
                <w:szCs w:val="24"/>
                <w:lang w:val="fr-FR"/>
              </w:rPr>
            </w:pPr>
            <w:r w:rsidRPr="00621537">
              <w:rPr>
                <w:rFonts w:cs="Times New Roman"/>
                <w:sz w:val="24"/>
                <w:szCs w:val="24"/>
                <w:lang w:val="fr-FR"/>
              </w:rPr>
              <w:t xml:space="preserve">Birds </w:t>
            </w:r>
          </w:p>
        </w:tc>
        <w:tc>
          <w:tcPr>
            <w:tcW w:w="0" w:type="auto"/>
          </w:tcPr>
          <w:p w14:paraId="031E9587" w14:textId="77777777" w:rsidR="000B40D3" w:rsidRPr="00621537" w:rsidRDefault="000B40D3" w:rsidP="00744B08">
            <w:pPr>
              <w:spacing w:line="480" w:lineRule="auto"/>
              <w:rPr>
                <w:rFonts w:cs="Times New Roman"/>
                <w:sz w:val="24"/>
                <w:szCs w:val="24"/>
                <w:lang w:val="fr-FR"/>
              </w:rPr>
            </w:pPr>
          </w:p>
        </w:tc>
      </w:tr>
      <w:tr w:rsidR="000B40D3" w:rsidRPr="00621537" w14:paraId="08FED745" w14:textId="77777777">
        <w:tc>
          <w:tcPr>
            <w:tcW w:w="0" w:type="auto"/>
          </w:tcPr>
          <w:p w14:paraId="0B7AB27A" w14:textId="77777777" w:rsidR="000B40D3" w:rsidRPr="00621537" w:rsidRDefault="000B40D3" w:rsidP="00744B08">
            <w:pPr>
              <w:spacing w:line="480" w:lineRule="auto"/>
              <w:rPr>
                <w:rFonts w:cs="Times New Roman"/>
                <w:sz w:val="24"/>
                <w:szCs w:val="24"/>
                <w:lang w:val="fr-FR"/>
              </w:rPr>
            </w:pPr>
            <w:r w:rsidRPr="00621537">
              <w:rPr>
                <w:rFonts w:cs="Times New Roman"/>
                <w:sz w:val="24"/>
                <w:szCs w:val="24"/>
                <w:lang w:val="fr-FR"/>
              </w:rPr>
              <w:t>§13</w:t>
            </w:r>
          </w:p>
        </w:tc>
        <w:tc>
          <w:tcPr>
            <w:tcW w:w="0" w:type="auto"/>
          </w:tcPr>
          <w:p w14:paraId="7D1DABDD" w14:textId="77777777" w:rsidR="000B40D3" w:rsidRPr="00621537" w:rsidRDefault="000B40D3" w:rsidP="00744B08">
            <w:pPr>
              <w:spacing w:line="480" w:lineRule="auto"/>
              <w:rPr>
                <w:rFonts w:cs="Times New Roman"/>
                <w:sz w:val="24"/>
                <w:szCs w:val="24"/>
                <w:lang w:val="fr-FR"/>
              </w:rPr>
            </w:pPr>
          </w:p>
        </w:tc>
        <w:tc>
          <w:tcPr>
            <w:tcW w:w="0" w:type="auto"/>
          </w:tcPr>
          <w:p w14:paraId="76572A4E" w14:textId="77777777" w:rsidR="000B40D3" w:rsidRPr="00621537" w:rsidRDefault="000B40D3" w:rsidP="00744B08">
            <w:pPr>
              <w:spacing w:line="480" w:lineRule="auto"/>
              <w:rPr>
                <w:rFonts w:cs="Times New Roman"/>
                <w:sz w:val="24"/>
                <w:szCs w:val="24"/>
                <w:lang w:val="fr-FR"/>
              </w:rPr>
            </w:pPr>
            <w:r w:rsidRPr="00621537">
              <w:rPr>
                <w:rFonts w:cs="Times New Roman"/>
                <w:sz w:val="24"/>
                <w:szCs w:val="24"/>
                <w:lang w:val="fr-FR"/>
              </w:rPr>
              <w:t xml:space="preserve">Cult statue </w:t>
            </w:r>
          </w:p>
        </w:tc>
      </w:tr>
      <w:tr w:rsidR="000B40D3" w:rsidRPr="00621537" w14:paraId="28E7ED54" w14:textId="77777777">
        <w:tc>
          <w:tcPr>
            <w:tcW w:w="0" w:type="auto"/>
          </w:tcPr>
          <w:p w14:paraId="339518F5" w14:textId="77777777" w:rsidR="000B40D3" w:rsidRPr="00621537" w:rsidRDefault="000B40D3" w:rsidP="00744B08">
            <w:pPr>
              <w:spacing w:line="480" w:lineRule="auto"/>
              <w:rPr>
                <w:rFonts w:cs="Times New Roman"/>
                <w:sz w:val="24"/>
                <w:szCs w:val="24"/>
                <w:lang w:val="fr-FR"/>
              </w:rPr>
            </w:pPr>
            <w:r w:rsidRPr="00621537">
              <w:rPr>
                <w:rFonts w:cs="Times New Roman"/>
                <w:sz w:val="24"/>
                <w:szCs w:val="24"/>
                <w:lang w:val="fr-FR"/>
              </w:rPr>
              <w:t>§14-16</w:t>
            </w:r>
          </w:p>
        </w:tc>
        <w:tc>
          <w:tcPr>
            <w:tcW w:w="0" w:type="auto"/>
          </w:tcPr>
          <w:p w14:paraId="79EB2CE4" w14:textId="77777777" w:rsidR="000B40D3" w:rsidRPr="00621537" w:rsidRDefault="000B40D3" w:rsidP="00744B08">
            <w:pPr>
              <w:spacing w:line="480" w:lineRule="auto"/>
              <w:rPr>
                <w:rFonts w:cs="Times New Roman"/>
                <w:sz w:val="24"/>
                <w:szCs w:val="24"/>
                <w:lang w:val="fr-FR"/>
              </w:rPr>
            </w:pPr>
            <w:r w:rsidRPr="00621537">
              <w:rPr>
                <w:rFonts w:cs="Times New Roman"/>
                <w:sz w:val="24"/>
                <w:szCs w:val="24"/>
                <w:lang w:val="fr-FR"/>
              </w:rPr>
              <w:t xml:space="preserve">Birds </w:t>
            </w:r>
          </w:p>
        </w:tc>
        <w:tc>
          <w:tcPr>
            <w:tcW w:w="0" w:type="auto"/>
          </w:tcPr>
          <w:p w14:paraId="4E262861" w14:textId="77777777" w:rsidR="000B40D3" w:rsidRPr="00621537" w:rsidRDefault="000B40D3" w:rsidP="00744B08">
            <w:pPr>
              <w:spacing w:line="480" w:lineRule="auto"/>
              <w:rPr>
                <w:rFonts w:cs="Times New Roman"/>
                <w:sz w:val="24"/>
                <w:szCs w:val="24"/>
                <w:lang w:val="fr-FR"/>
              </w:rPr>
            </w:pPr>
          </w:p>
        </w:tc>
      </w:tr>
      <w:tr w:rsidR="000B40D3" w:rsidRPr="00621537" w14:paraId="68998318" w14:textId="77777777">
        <w:tc>
          <w:tcPr>
            <w:tcW w:w="0" w:type="auto"/>
          </w:tcPr>
          <w:p w14:paraId="64886C0E" w14:textId="77777777" w:rsidR="000B40D3" w:rsidRPr="00621537" w:rsidRDefault="000B40D3" w:rsidP="00744B08">
            <w:pPr>
              <w:spacing w:line="480" w:lineRule="auto"/>
              <w:rPr>
                <w:rFonts w:cs="Times New Roman"/>
                <w:sz w:val="24"/>
                <w:szCs w:val="24"/>
                <w:lang w:val="fr-FR"/>
              </w:rPr>
            </w:pPr>
            <w:r w:rsidRPr="00621537">
              <w:rPr>
                <w:rFonts w:cs="Times New Roman"/>
                <w:sz w:val="24"/>
                <w:szCs w:val="24"/>
                <w:lang w:val="fr-FR"/>
              </w:rPr>
              <w:t>§17</w:t>
            </w:r>
          </w:p>
        </w:tc>
        <w:tc>
          <w:tcPr>
            <w:tcW w:w="0" w:type="auto"/>
          </w:tcPr>
          <w:p w14:paraId="60A64C4C" w14:textId="77777777" w:rsidR="000B40D3" w:rsidRPr="00621537" w:rsidRDefault="000B40D3" w:rsidP="00744B08">
            <w:pPr>
              <w:spacing w:line="480" w:lineRule="auto"/>
              <w:rPr>
                <w:rFonts w:cs="Times New Roman"/>
                <w:sz w:val="24"/>
                <w:szCs w:val="24"/>
                <w:lang w:val="fr-FR"/>
              </w:rPr>
            </w:pPr>
          </w:p>
        </w:tc>
        <w:tc>
          <w:tcPr>
            <w:tcW w:w="0" w:type="auto"/>
          </w:tcPr>
          <w:p w14:paraId="66C9D912" w14:textId="77777777" w:rsidR="000B40D3" w:rsidRPr="00621537" w:rsidRDefault="000B40D3" w:rsidP="00744B08">
            <w:pPr>
              <w:spacing w:line="480" w:lineRule="auto"/>
              <w:rPr>
                <w:rFonts w:cs="Times New Roman"/>
                <w:sz w:val="24"/>
                <w:szCs w:val="24"/>
                <w:lang w:val="fr-FR"/>
              </w:rPr>
            </w:pPr>
            <w:r w:rsidRPr="00621537">
              <w:rPr>
                <w:rFonts w:cs="Times New Roman"/>
                <w:sz w:val="24"/>
                <w:szCs w:val="24"/>
                <w:lang w:val="fr-FR"/>
              </w:rPr>
              <w:t>Gender</w:t>
            </w:r>
          </w:p>
        </w:tc>
      </w:tr>
      <w:tr w:rsidR="000B40D3" w:rsidRPr="00621537" w14:paraId="571569F0" w14:textId="77777777">
        <w:trPr>
          <w:trHeight w:val="42"/>
        </w:trPr>
        <w:tc>
          <w:tcPr>
            <w:tcW w:w="0" w:type="auto"/>
          </w:tcPr>
          <w:p w14:paraId="64471DB6" w14:textId="77777777" w:rsidR="000B40D3" w:rsidRPr="00621537" w:rsidRDefault="000B40D3" w:rsidP="00744B08">
            <w:pPr>
              <w:spacing w:line="480" w:lineRule="auto"/>
              <w:rPr>
                <w:rFonts w:cs="Times New Roman"/>
                <w:sz w:val="24"/>
                <w:szCs w:val="24"/>
                <w:lang w:val="fr-FR"/>
              </w:rPr>
            </w:pPr>
            <w:r w:rsidRPr="00621537">
              <w:rPr>
                <w:rFonts w:cs="Times New Roman"/>
                <w:sz w:val="24"/>
                <w:szCs w:val="24"/>
                <w:lang w:val="fr-FR"/>
              </w:rPr>
              <w:t>§18-22</w:t>
            </w:r>
          </w:p>
        </w:tc>
        <w:tc>
          <w:tcPr>
            <w:tcW w:w="0" w:type="auto"/>
          </w:tcPr>
          <w:p w14:paraId="174BC1D6" w14:textId="77777777" w:rsidR="000B40D3" w:rsidRPr="00621537" w:rsidRDefault="000B40D3" w:rsidP="00744B08">
            <w:pPr>
              <w:spacing w:line="480" w:lineRule="auto"/>
              <w:rPr>
                <w:rFonts w:cs="Times New Roman"/>
                <w:sz w:val="24"/>
                <w:szCs w:val="24"/>
                <w:lang w:val="fr-FR"/>
              </w:rPr>
            </w:pPr>
            <w:r w:rsidRPr="00621537">
              <w:rPr>
                <w:rFonts w:cs="Times New Roman"/>
                <w:sz w:val="24"/>
                <w:szCs w:val="24"/>
                <w:lang w:val="fr-FR"/>
              </w:rPr>
              <w:t xml:space="preserve">Birds </w:t>
            </w:r>
          </w:p>
        </w:tc>
        <w:tc>
          <w:tcPr>
            <w:tcW w:w="0" w:type="auto"/>
          </w:tcPr>
          <w:p w14:paraId="5057E5BD" w14:textId="77777777" w:rsidR="000B40D3" w:rsidRPr="00621537" w:rsidRDefault="000B40D3" w:rsidP="00744B08">
            <w:pPr>
              <w:spacing w:line="480" w:lineRule="auto"/>
              <w:rPr>
                <w:rFonts w:cs="Times New Roman"/>
                <w:sz w:val="24"/>
                <w:szCs w:val="24"/>
                <w:lang w:val="fr-FR"/>
              </w:rPr>
            </w:pPr>
          </w:p>
        </w:tc>
      </w:tr>
    </w:tbl>
    <w:p w14:paraId="6B8DF3B4" w14:textId="77777777" w:rsidR="000B40D3" w:rsidRPr="00621537" w:rsidRDefault="000B40D3" w:rsidP="000B40D3">
      <w:pPr>
        <w:spacing w:line="480" w:lineRule="auto"/>
        <w:ind w:firstLine="284"/>
        <w:jc w:val="both"/>
        <w:rPr>
          <w:rFonts w:eastAsia="Times New Roman" w:cs="Times New Roman"/>
          <w:sz w:val="24"/>
          <w:szCs w:val="24"/>
          <w:lang w:val="en-GB"/>
        </w:rPr>
      </w:pPr>
    </w:p>
    <w:p w14:paraId="3FCB2039" w14:textId="2B785464" w:rsidR="00D46393" w:rsidRDefault="000B40D3" w:rsidP="00633945">
      <w:pPr>
        <w:spacing w:line="480" w:lineRule="auto"/>
        <w:ind w:firstLine="720"/>
        <w:jc w:val="both"/>
        <w:rPr>
          <w:rFonts w:eastAsia="Times New Roman" w:cs="Times New Roman"/>
          <w:sz w:val="24"/>
          <w:szCs w:val="24"/>
          <w:lang w:val="en-GB"/>
        </w:rPr>
      </w:pPr>
      <w:r w:rsidRPr="00621537">
        <w:rPr>
          <w:rFonts w:eastAsia="Times New Roman" w:cs="Times New Roman"/>
          <w:sz w:val="24"/>
          <w:szCs w:val="24"/>
          <w:lang w:val="en-GB"/>
        </w:rPr>
        <w:t>Systemat</w:t>
      </w:r>
      <w:r w:rsidR="004F5DA1">
        <w:rPr>
          <w:rFonts w:eastAsia="Times New Roman" w:cs="Times New Roman"/>
          <w:sz w:val="24"/>
          <w:szCs w:val="24"/>
          <w:lang w:val="en-GB"/>
        </w:rPr>
        <w:t>izing</w:t>
      </w:r>
      <w:r w:rsidRPr="00621537">
        <w:rPr>
          <w:rFonts w:eastAsia="Times New Roman" w:cs="Times New Roman"/>
          <w:sz w:val="24"/>
          <w:szCs w:val="24"/>
          <w:lang w:val="en-GB"/>
        </w:rPr>
        <w:t xml:space="preserve"> the text in this way produces satisfying correlations between the ‘cognitive maps’ produced by each entry. By making metamorphosis the primary point of orientation for a seeming haphazard collection, the transformation is made the central, defining event of each narrative. What this schema does not replicate, however, is the actual experience of encountering and comprehending each entry as a story.</w:t>
      </w:r>
      <w:r w:rsidR="004F5DA1">
        <w:rPr>
          <w:rFonts w:eastAsia="Times New Roman" w:cs="Times New Roman"/>
          <w:sz w:val="24"/>
          <w:szCs w:val="24"/>
          <w:lang w:val="en-GB"/>
        </w:rPr>
        <w:t xml:space="preserve"> </w:t>
      </w:r>
    </w:p>
    <w:p w14:paraId="0DB2AB53" w14:textId="703E58DF" w:rsidR="000B40D3" w:rsidRPr="00621537" w:rsidRDefault="00CE2006" w:rsidP="000B40D3">
      <w:pPr>
        <w:spacing w:line="480" w:lineRule="auto"/>
        <w:jc w:val="both"/>
        <w:rPr>
          <w:rFonts w:eastAsia="Times New Roman" w:cs="Times New Roman"/>
          <w:sz w:val="24"/>
          <w:szCs w:val="24"/>
          <w:lang w:val="en-GB"/>
        </w:rPr>
      </w:pPr>
      <w:r>
        <w:rPr>
          <w:rFonts w:eastAsia="Times New Roman" w:cs="Times New Roman"/>
          <w:sz w:val="24"/>
          <w:szCs w:val="24"/>
          <w:lang w:val="en-GB"/>
        </w:rPr>
        <w:tab/>
      </w:r>
      <w:r w:rsidR="000B40D3" w:rsidRPr="00621537">
        <w:rPr>
          <w:rFonts w:eastAsia="Times New Roman" w:cs="Times New Roman"/>
          <w:sz w:val="24"/>
          <w:szCs w:val="24"/>
          <w:lang w:val="en-GB"/>
        </w:rPr>
        <w:t>We have already summari</w:t>
      </w:r>
      <w:r w:rsidR="0072529D" w:rsidRPr="00621537">
        <w:rPr>
          <w:rFonts w:eastAsia="Times New Roman" w:cs="Times New Roman"/>
          <w:sz w:val="24"/>
          <w:szCs w:val="24"/>
          <w:lang w:val="en-GB"/>
        </w:rPr>
        <w:t>z</w:t>
      </w:r>
      <w:r w:rsidR="000B40D3" w:rsidRPr="00621537">
        <w:rPr>
          <w:rFonts w:eastAsia="Times New Roman" w:cs="Times New Roman"/>
          <w:sz w:val="24"/>
          <w:szCs w:val="24"/>
          <w:lang w:val="en-GB"/>
        </w:rPr>
        <w:t>ed the content of Antoninus’ first entry. Now let us read it through in its entirety, as if encountering it for the first time.</w:t>
      </w:r>
      <w:r w:rsidR="004F5DA1">
        <w:rPr>
          <w:rFonts w:eastAsia="Times New Roman" w:cs="Times New Roman"/>
          <w:sz w:val="24"/>
          <w:szCs w:val="24"/>
          <w:lang w:val="en-GB"/>
        </w:rPr>
        <w:t xml:space="preserve"> </w:t>
      </w:r>
      <w:r w:rsidR="000B40D3" w:rsidRPr="00621537">
        <w:rPr>
          <w:rFonts w:eastAsia="Times New Roman" w:cs="Times New Roman"/>
          <w:sz w:val="24"/>
          <w:szCs w:val="24"/>
          <w:lang w:val="en-GB"/>
        </w:rPr>
        <w:t>What sort of story are we expecting?</w:t>
      </w:r>
      <w:r w:rsidR="004F5DA1">
        <w:rPr>
          <w:rFonts w:eastAsia="Times New Roman" w:cs="Times New Roman"/>
          <w:sz w:val="24"/>
          <w:szCs w:val="24"/>
          <w:lang w:val="en-GB"/>
        </w:rPr>
        <w:t xml:space="preserve"> </w:t>
      </w:r>
      <w:r w:rsidR="000B40D3" w:rsidRPr="00621537">
        <w:rPr>
          <w:rFonts w:eastAsia="Times New Roman" w:cs="Times New Roman"/>
          <w:sz w:val="24"/>
          <w:szCs w:val="24"/>
          <w:lang w:val="en-GB"/>
        </w:rPr>
        <w:t>What sort of collection?</w:t>
      </w:r>
    </w:p>
    <w:p w14:paraId="1A635104" w14:textId="77777777" w:rsidR="000B40D3" w:rsidRPr="00621537" w:rsidRDefault="000B40D3" w:rsidP="000B40D3">
      <w:pPr>
        <w:spacing w:line="276" w:lineRule="auto"/>
        <w:ind w:left="720"/>
        <w:jc w:val="both"/>
        <w:rPr>
          <w:rFonts w:cs="Times New Roman"/>
          <w:sz w:val="24"/>
          <w:szCs w:val="24"/>
        </w:rPr>
      </w:pPr>
      <w:r w:rsidRPr="00621537">
        <w:rPr>
          <w:rFonts w:cs="Times New Roman"/>
          <w:sz w:val="24"/>
          <w:szCs w:val="24"/>
        </w:rPr>
        <w:t>1.1 Κτήσυλλα ἐγένετο Κεία τὸ γένος ἐξ Ἰουλίδος Ἀλκιδάμαντος θυγάτηρ. ταύτην ἰδὼν Ἑρμοχάρης Ἀθηναῖος χορεύουσαν Πυθίοις παρὰ τὸν βωμὸν τοῦ Ἀπόλλωνος ἐν Καρθαίᾳ ἐπεθύμησεν αὐτῆς καὶ ἐπιγράψας μῆλον ἔρριψεν ἐν τῷ ἱερῷ τῆς Ἀρτέμιδος, ἡ δὲ ἀνείλετο καὶ ἀνέγνω · 1.2 ἐγέγραπτο δὲ ὅρκος κατὰ τῆς Ἀρτέμιδος ἦ μὴν γαμηθήσεσθαι Ἑρμοχάρει Ἀθηναίῳ. ἡ μὲν οὖν Κτήσυλλα ἀπέρριψε τὸ μῆλον αἰδεσθεῖσα καὶ χαλεπῶς ἤνεγκεν, ὥσπερ ὅτε Κυδίππην Ἀκόντιος ἐξηπάτησεν. 1.3 Ἑρμοχάρει δὲ αἰτησαμένῳ κατῄνεσε τὸν γάμον ὁ πατὴρ ὁ τῆς Κτησύλλης καὶ ὤμοσε τὸν Ἀπόλλωνα τῆς δάφνης ἁψάμενος. ἐπεὶ δὲ διῆλθεν ὁ τῶν Πυθίων χρόνος, Ἀλκιδάμας ἐκλαθόμενος τὸν ὅρκον, ὃν ὤμοσεν, ἑτέρῳ συνῴκιζε τὴν θυγατέρα. 1.4 καὶ ἡ παῖς ἔθυεν ἐν τῷ τῆς Ἀρτέμιδος ἱερῷ. χαλεπῶς δὲ φέρων Ἑρμοχάρης ἐπὶ τῷ τούτου διαμαρτεῖν εἰσέδραμεν εἰς τὸ Ἀρτεμίσιον · καὶ ἡ παῖς αὐτὸν ἰδοῦσα κατὰ θεῖον ἠράσθη, καὶ συνθεμένη διὰ τῆς τροφοῦ διαλαθοῦσα τὸν πατέρα, νύχιον ἀπέπλευσεν εἰς τὰς Ἀθήνας καὶ γάμος ἐπράχθη τῷ Ἑρμοχάρει. 1.5 τεκοῦσα δ᾿ ἡ Κτήσυλλα καὶ χαλεπῶς ἐκ τοῦ τόκου διατεθεῖσα ἐτελεύτησε κατὰ δαίμονα, ὅτι ὁ πατὴρ αὐτῆς ἐψεύσατο τὸν ὅρκον. καὶ τὸ μὲν σῶμα κομίσαντες ἔφερον ὅπως κηδεύσωσιν, ἐκ δὲ τῆς στρωμνῆς πελειὰς ἐξέπτη καὶ τὸ σῶμα τῆς Κτησύλλης ἀφανὲς ἐγένετο. 1.6 χρωμένῳ δ᾿ Ἑρμοχάρει ὁ θεὸς ἀνεῖλεν ἱδρύσασθαι ἱερὸν παρὰ τοῖς Ἰουλιήταις ἐπώνυμον Ἀφροδίτης Κτησύλλης · ἔχρησε δὲ καὶ τοῖς Κείοις. οἱ δὲ θύουσιν ἄχρι νῦν, Ἰουλιῆται μὲν Ἀφροδίτην Κτήσυλλαν ὀνομάζοντες, οἱ δὲ ἄλλοι Κτήσυλλαν Ἑκαέργην.</w:t>
      </w:r>
    </w:p>
    <w:p w14:paraId="6F27D354" w14:textId="77777777" w:rsidR="000B40D3" w:rsidRPr="00621537" w:rsidRDefault="000B40D3" w:rsidP="000B40D3">
      <w:pPr>
        <w:spacing w:after="0" w:line="276" w:lineRule="auto"/>
        <w:ind w:left="720"/>
        <w:rPr>
          <w:rFonts w:eastAsia="Times New Roman" w:cs="Times New Roman"/>
          <w:sz w:val="24"/>
          <w:szCs w:val="24"/>
          <w:lang w:val="en-GB"/>
        </w:rPr>
      </w:pPr>
    </w:p>
    <w:p w14:paraId="65E3254A" w14:textId="22E458CD" w:rsidR="000B40D3" w:rsidRPr="00621537" w:rsidRDefault="000B40D3" w:rsidP="000B40D3">
      <w:pPr>
        <w:spacing w:line="276" w:lineRule="auto"/>
        <w:ind w:left="720"/>
        <w:jc w:val="both"/>
        <w:rPr>
          <w:rFonts w:cs="Times New Roman"/>
          <w:sz w:val="24"/>
          <w:szCs w:val="24"/>
          <w:lang w:val="en-GB"/>
        </w:rPr>
      </w:pPr>
      <w:r w:rsidRPr="00621537">
        <w:rPr>
          <w:rFonts w:cs="Times New Roman"/>
          <w:sz w:val="24"/>
          <w:szCs w:val="24"/>
        </w:rPr>
        <w:t>Ctesylla was Cean by birth, from the city of Iulis, and Alcidamas was her father.</w:t>
      </w:r>
      <w:r w:rsidR="004F5DA1">
        <w:rPr>
          <w:rFonts w:cs="Times New Roman"/>
          <w:sz w:val="24"/>
          <w:szCs w:val="24"/>
        </w:rPr>
        <w:t xml:space="preserve"> </w:t>
      </w:r>
      <w:r w:rsidRPr="00621537">
        <w:rPr>
          <w:rFonts w:cs="Times New Roman"/>
          <w:sz w:val="24"/>
          <w:szCs w:val="24"/>
        </w:rPr>
        <w:t xml:space="preserve">Hermochares, an Athenian, saw her dancing around the altar of Apollo during the Pythian festival at Carthaea and fell in love with her. He inscribed words on an apple and threw it into the sanctuary of Artemis. She retrieved it and read its words out loud. Written on it was a vow: ‘I swear by Artemis, I will marry Hermochares the Athenian.’ Ctesylla </w:t>
      </w:r>
      <w:r w:rsidRPr="00621537">
        <w:rPr>
          <w:rFonts w:cs="Times New Roman"/>
          <w:sz w:val="24"/>
          <w:szCs w:val="24"/>
          <w:lang w:val="en-GB"/>
        </w:rPr>
        <w:t xml:space="preserve">flung the apple away, embarrassed, and grew angry just as Cydippe had when Acontius tricked her. Hermochares asked for Ctesylla’s hand, and Ctesylla’s father approved and swore an oath to Apollo with his hand on the laurel tree. </w:t>
      </w:r>
    </w:p>
    <w:p w14:paraId="561A77C0" w14:textId="77777777" w:rsidR="000B40D3" w:rsidRPr="00621537" w:rsidRDefault="000B40D3" w:rsidP="000B40D3">
      <w:pPr>
        <w:spacing w:line="276" w:lineRule="auto"/>
        <w:ind w:left="720"/>
        <w:jc w:val="both"/>
        <w:rPr>
          <w:rFonts w:cs="Times New Roman"/>
          <w:sz w:val="24"/>
          <w:szCs w:val="24"/>
        </w:rPr>
      </w:pPr>
      <w:r w:rsidRPr="00621537">
        <w:rPr>
          <w:rFonts w:cs="Times New Roman"/>
          <w:sz w:val="24"/>
          <w:szCs w:val="24"/>
        </w:rPr>
        <w:t>ἐπεὶ δὲ διῆλθεν ὁ τῶν Πυθίων χρόνος, Ἀλκιδάμας ἐκλαθόμενος τὸν ὅρκον, ὃν ὤμοσεν, ἑτέρῳ συνῴκιζε τὴν θυγατέρα. 1.4 καὶ ἡ παῖς ἔθυεν ἐν τῷ τῆς Ἀρτέμιδος ἱερῷ. χαλεπῶς δὲ φέρων Ἑρμοχάρης ἐπὶ τῷ τούτου διαμαρτεῖν εἰσέδραμεν εἰς τὸ Ἀρτεμίσιον · καὶ ἡ παῖς αὐτὸν ἰδοῦσα κατὰ θεῖον ἠράσθη, καὶ συνθεμένη διὰ τῆς τροφοῦ διαλαθοῦσα τὸν πατέρα, νύχιον ἀπέπλευσεν εἰς τὰς Ἀθήνας καὶ γάμος ἐπράχθη τῷ Ἑρμοχάρει. 1.5 τεκοῦσα δ᾿ ἡ Κτήσυλλα καὶ χαλεπῶς ἐκ τοῦ τόκου διατεθεῖσα ἐτελεύτησε κατὰ δαίμονα, ὅτι ὁ πατὴρ αὐτῆς ἐψεύσατο τὸν ὅρκον. καὶ τὸ μὲν σῶμα κομίσαντες ἔφερον ὅπως κηδεύσωσιν, ἐκ δὲ τῆς στρωμνῆς πελειὰς ἐξέπτη καὶ τὸ σῶμα τῆς Κτησύλλης ἀφανὲς ἐγένετο. 1.6 χρωμένῳ δ᾿ Ἑρμοχάρει ὁ θεὸς ἀνεῖλεν ἱδρύσασθαι ἱερὸν παρὰ τοῖς Ἰουλιήταις ἐπώνυμον Ἀφροδίτης Κτησύλλης · ἔχρησε δὲ καὶ τοῖς Κείοις. οἱ δὲ θύουσιν ἄχρι νῦν, Ἰουλιῆται μὲν Ἀφροδίτην Κτήσυλλαν ὀνομάζοντες, οἱ δὲ ἄλλοι Κτήσυλλαν Ἑκαέργην.</w:t>
      </w:r>
    </w:p>
    <w:p w14:paraId="159577FC" w14:textId="77777777" w:rsidR="00D46393" w:rsidRDefault="00D46393" w:rsidP="00633945">
      <w:pPr>
        <w:spacing w:line="276" w:lineRule="auto"/>
        <w:jc w:val="both"/>
        <w:rPr>
          <w:rFonts w:cs="Times New Roman"/>
          <w:sz w:val="24"/>
          <w:szCs w:val="24"/>
          <w:lang w:val="en-GB"/>
        </w:rPr>
      </w:pPr>
    </w:p>
    <w:p w14:paraId="2228C7D4" w14:textId="77777777" w:rsidR="000B40D3" w:rsidRPr="00621537" w:rsidRDefault="000B40D3" w:rsidP="000B40D3">
      <w:pPr>
        <w:spacing w:line="276" w:lineRule="auto"/>
        <w:ind w:left="720"/>
        <w:jc w:val="both"/>
        <w:rPr>
          <w:rFonts w:cs="Times New Roman"/>
          <w:sz w:val="24"/>
          <w:szCs w:val="24"/>
          <w:lang w:val="en-GB"/>
        </w:rPr>
      </w:pPr>
      <w:r w:rsidRPr="00621537">
        <w:rPr>
          <w:rFonts w:cs="Times New Roman"/>
          <w:sz w:val="24"/>
          <w:szCs w:val="24"/>
          <w:lang w:val="en-GB"/>
        </w:rPr>
        <w:t xml:space="preserve">But after the Pythian festival was over, Alcidamas forgot the oath that he had sworn and gave his daughter to another man. The young girl was making sacrifices in sanctuary of Artemis. Angered at having lost out, Hermochares sprinted to the sanctuary. And the girl, as soon as she saw him, fell in love in accordance with divine will. With her nurse as a go-between, Ctesylla made arrangements with Hermochares and, without her father’s knowledge, sailed off by night to Athens and married him there. </w:t>
      </w:r>
    </w:p>
    <w:p w14:paraId="1186DC39" w14:textId="77777777" w:rsidR="000B40D3" w:rsidRPr="00621537" w:rsidRDefault="000B40D3" w:rsidP="000B40D3">
      <w:pPr>
        <w:spacing w:line="276" w:lineRule="auto"/>
        <w:ind w:left="720"/>
        <w:jc w:val="both"/>
        <w:rPr>
          <w:rFonts w:cs="Times New Roman"/>
          <w:sz w:val="24"/>
          <w:szCs w:val="24"/>
          <w:lang w:val="en-GB"/>
        </w:rPr>
      </w:pPr>
      <w:r w:rsidRPr="00621537">
        <w:rPr>
          <w:rFonts w:cs="Times New Roman"/>
          <w:sz w:val="24"/>
          <w:szCs w:val="24"/>
          <w:lang w:val="en-GB"/>
        </w:rPr>
        <w:t>Having gone into labour, Ctesylla suffered terribly from the delivery and died by divine will, since her father had not honoured his oath. They carried off her body for the funerary rites, and out of the shroud a dove took flight and the body of Ctesylla was no longer to be seen. Hermochares consulted the oracle and the god told him to found at Iulis a sanctuary named for Aphrodite Ctesylla. The god also told this to the Ceans. And still today the people of Iulis make sacrifices to the goddess they call Aphrodite Ctesylla, and others call Ctesylla Hecaerge.</w:t>
      </w:r>
    </w:p>
    <w:p w14:paraId="7DBB1FC4" w14:textId="77777777" w:rsidR="000B40D3" w:rsidRPr="00621537" w:rsidRDefault="000B40D3" w:rsidP="000B40D3">
      <w:pPr>
        <w:spacing w:after="0" w:line="480" w:lineRule="auto"/>
        <w:jc w:val="both"/>
        <w:rPr>
          <w:rFonts w:cs="Times New Roman"/>
          <w:i/>
          <w:iCs/>
          <w:sz w:val="24"/>
          <w:szCs w:val="24"/>
          <w:lang w:val="en-GB"/>
        </w:rPr>
      </w:pPr>
    </w:p>
    <w:p w14:paraId="0EBE90BA" w14:textId="2D2F78A1" w:rsidR="000B40D3" w:rsidRPr="00621537" w:rsidRDefault="000B40D3" w:rsidP="000B40D3">
      <w:pPr>
        <w:spacing w:after="0" w:line="480" w:lineRule="auto"/>
        <w:jc w:val="both"/>
        <w:rPr>
          <w:rFonts w:eastAsia="Times New Roman" w:cs="Times New Roman"/>
          <w:sz w:val="24"/>
          <w:szCs w:val="24"/>
        </w:rPr>
      </w:pPr>
      <w:r w:rsidRPr="00621537">
        <w:rPr>
          <w:rFonts w:eastAsia="Times New Roman" w:cs="Times New Roman"/>
          <w:sz w:val="24"/>
          <w:szCs w:val="24"/>
          <w:lang w:val="en-GB"/>
        </w:rPr>
        <w:t>The action is deftly reali</w:t>
      </w:r>
      <w:r w:rsidR="0072529D" w:rsidRPr="00621537">
        <w:rPr>
          <w:rFonts w:eastAsia="Times New Roman" w:cs="Times New Roman"/>
          <w:sz w:val="24"/>
          <w:szCs w:val="24"/>
          <w:lang w:val="en-GB"/>
        </w:rPr>
        <w:t>z</w:t>
      </w:r>
      <w:r w:rsidRPr="00621537">
        <w:rPr>
          <w:rFonts w:eastAsia="Times New Roman" w:cs="Times New Roman"/>
          <w:sz w:val="24"/>
          <w:szCs w:val="24"/>
          <w:lang w:val="en-GB"/>
        </w:rPr>
        <w:t>ed with the internal lives of the characters as its engine: Hermochares’ love-fuelled effrontery, Ctesylla’s outrage at being tricked, her father’s unexplained absentmindedness, Hermochares’ furious race against time and the subterfuge of their flight to Athens. Running beside this story is another: Hermochares’ trick is really that of Callimachus’ Acontius, taught to him by Eros so that he might win the name ‘husband’ for his entire lifetime (τοῦτο διὰ ζωῆς οὔνομα κουρίδιον</w:t>
      </w:r>
      <w:r w:rsidRPr="00621537">
        <w:rPr>
          <w:rFonts w:eastAsia="Times New Roman" w:cs="Times New Roman"/>
          <w:sz w:val="24"/>
          <w:szCs w:val="24"/>
        </w:rPr>
        <w:t>).</w:t>
      </w:r>
      <w:r w:rsidRPr="00621537">
        <w:rPr>
          <w:rStyle w:val="FootnoteReference"/>
          <w:rFonts w:cs="Times New Roman"/>
        </w:rPr>
        <w:footnoteReference w:id="49"/>
      </w:r>
      <w:r w:rsidRPr="00621537">
        <w:rPr>
          <w:rFonts w:eastAsia="Times New Roman" w:cs="Times New Roman"/>
          <w:sz w:val="24"/>
          <w:szCs w:val="24"/>
        </w:rPr>
        <w:t xml:space="preserve"> In Callimachus’ account, Acontius and Cydippe undergo numerous trials before they can finally marry and live ‘happily ever after’: she too is almost married off to someone else – three times in fact – before her father finally agrees to the match with Acontius. The reader familiar with that story identifies Hermochares and Ctesylla as a new pair of lovers in the same cast, destined by established narrative pattern – as much as ‘divine will’ – to find one another.</w:t>
      </w:r>
      <w:r w:rsidR="004F5DA1">
        <w:rPr>
          <w:rFonts w:eastAsia="Times New Roman" w:cs="Times New Roman"/>
          <w:sz w:val="24"/>
          <w:szCs w:val="24"/>
        </w:rPr>
        <w:t xml:space="preserve"> </w:t>
      </w:r>
    </w:p>
    <w:p w14:paraId="321A1A35" w14:textId="020B977E" w:rsidR="000B40D3" w:rsidRPr="00621537" w:rsidRDefault="00CE2006" w:rsidP="000B40D3">
      <w:pPr>
        <w:spacing w:after="0" w:line="480" w:lineRule="auto"/>
        <w:jc w:val="both"/>
        <w:rPr>
          <w:rFonts w:eastAsia="Times New Roman" w:cs="Times New Roman"/>
          <w:sz w:val="24"/>
          <w:szCs w:val="24"/>
        </w:rPr>
      </w:pPr>
      <w:r>
        <w:rPr>
          <w:rFonts w:eastAsia="Times New Roman" w:cs="Times New Roman"/>
          <w:sz w:val="24"/>
          <w:szCs w:val="24"/>
        </w:rPr>
        <w:tab/>
      </w:r>
      <w:r w:rsidR="000B40D3" w:rsidRPr="00621537">
        <w:rPr>
          <w:rFonts w:eastAsia="Times New Roman" w:cs="Times New Roman"/>
          <w:sz w:val="24"/>
          <w:szCs w:val="24"/>
        </w:rPr>
        <w:t>Nick Lowe has described how narrative genres bring with them rules and constraints native to their particular narrative universes; a heroine acts not with free-will but as a character in the plot that she appears in.</w:t>
      </w:r>
      <w:r w:rsidR="000B40D3" w:rsidRPr="00621537">
        <w:rPr>
          <w:rStyle w:val="FootnoteReference"/>
          <w:rFonts w:cs="Times New Roman"/>
        </w:rPr>
        <w:footnoteReference w:id="50"/>
      </w:r>
      <w:r w:rsidR="000B40D3" w:rsidRPr="00621537">
        <w:rPr>
          <w:rFonts w:eastAsia="Times New Roman" w:cs="Times New Roman"/>
          <w:sz w:val="24"/>
          <w:szCs w:val="24"/>
        </w:rPr>
        <w:t xml:space="preserve"> Such universes are closed systems: a classical plot works its way inevitably towards the ‘end-game’, that ‘final actualisation of stored narrative power’.</w:t>
      </w:r>
      <w:r w:rsidR="000B40D3" w:rsidRPr="00621537">
        <w:rPr>
          <w:rStyle w:val="FootnoteReference"/>
          <w:rFonts w:cs="Times New Roman"/>
        </w:rPr>
        <w:footnoteReference w:id="51"/>
      </w:r>
      <w:r w:rsidR="000B40D3" w:rsidRPr="00621537">
        <w:rPr>
          <w:rFonts w:eastAsia="Times New Roman" w:cs="Times New Roman"/>
          <w:sz w:val="24"/>
          <w:szCs w:val="24"/>
        </w:rPr>
        <w:t xml:space="preserve"> How exactly this end-game will play out is not known until it arrives; but the general nature of the outcome is typically foreshadowed. Ctesylla and Hermochares, the young couple bound by symmetrical affection and forced into wandering, take us into the world and the tropes of the Imperial novel. We expect for them an end-game which satisfies their needs of ‘reunion and return’.</w:t>
      </w:r>
      <w:r w:rsidR="000B40D3" w:rsidRPr="00621537">
        <w:rPr>
          <w:rStyle w:val="FootnoteReference"/>
          <w:rFonts w:cs="Times New Roman"/>
        </w:rPr>
        <w:footnoteReference w:id="52"/>
      </w:r>
      <w:r w:rsidR="000B40D3" w:rsidRPr="00621537">
        <w:rPr>
          <w:rFonts w:eastAsia="Times New Roman" w:cs="Times New Roman"/>
          <w:sz w:val="24"/>
          <w:szCs w:val="24"/>
        </w:rPr>
        <w:t xml:space="preserve"> Yet in Antoninus’ hands the pair’s elopement is a mere way-station and not their </w:t>
      </w:r>
      <w:r w:rsidR="000B40D3" w:rsidRPr="00621537">
        <w:rPr>
          <w:rFonts w:eastAsia="Times New Roman" w:cs="Times New Roman"/>
          <w:i/>
          <w:iCs/>
          <w:sz w:val="24"/>
          <w:szCs w:val="24"/>
        </w:rPr>
        <w:t>telos</w:t>
      </w:r>
      <w:r w:rsidR="000B40D3" w:rsidRPr="00621537">
        <w:rPr>
          <w:rFonts w:eastAsia="Times New Roman" w:cs="Times New Roman"/>
          <w:sz w:val="24"/>
          <w:szCs w:val="24"/>
        </w:rPr>
        <w:t xml:space="preserve">. Ctesylla’s subsequent death in childbirth and – notably – metamorphosis into a dove appear out of nowhere; why must </w:t>
      </w:r>
      <w:r w:rsidR="000B40D3" w:rsidRPr="00621537">
        <w:rPr>
          <w:rFonts w:eastAsia="Times New Roman" w:cs="Times New Roman"/>
          <w:i/>
          <w:sz w:val="24"/>
          <w:szCs w:val="24"/>
        </w:rPr>
        <w:t>this</w:t>
      </w:r>
      <w:r w:rsidR="000B40D3" w:rsidRPr="00621537">
        <w:rPr>
          <w:rFonts w:eastAsia="Times New Roman" w:cs="Times New Roman"/>
          <w:sz w:val="24"/>
          <w:szCs w:val="24"/>
        </w:rPr>
        <w:t xml:space="preserve"> be her father’s punishment? </w:t>
      </w:r>
      <w:r w:rsidR="000B40D3" w:rsidRPr="00621537">
        <w:rPr>
          <w:rFonts w:cs="Times New Roman"/>
          <w:sz w:val="24"/>
          <w:szCs w:val="24"/>
          <w:lang w:val="en-GB"/>
        </w:rPr>
        <w:t>The visceral turmoil of the miscarriage is replicated cognitively in the reader: this is not the story it was supposed to be; t</w:t>
      </w:r>
      <w:r w:rsidR="000B40D3" w:rsidRPr="00621537">
        <w:rPr>
          <w:rFonts w:eastAsia="Times New Roman" w:cs="Times New Roman"/>
          <w:sz w:val="24"/>
          <w:szCs w:val="24"/>
        </w:rPr>
        <w:t>he narrative arc has veered widely off course. Indeed, we have found ourselves in a world of many mingling plots: the couples’, alongside that of a father with his own agenda, and the gods who intervene actively.</w:t>
      </w:r>
      <w:r w:rsidR="000B40D3" w:rsidRPr="00621537">
        <w:rPr>
          <w:rStyle w:val="FootnoteReference"/>
          <w:rFonts w:cs="Times New Roman"/>
        </w:rPr>
        <w:footnoteReference w:id="53"/>
      </w:r>
      <w:r w:rsidR="000B40D3" w:rsidRPr="00621537">
        <w:rPr>
          <w:rFonts w:eastAsia="Times New Roman" w:cs="Times New Roman"/>
          <w:sz w:val="24"/>
          <w:szCs w:val="24"/>
        </w:rPr>
        <w:t xml:space="preserve"> More than this, beyond the apparent end-game of the marriage we have two further episodes which make it clear that Ctesylla is not the novelistic heroine we had thought she was.</w:t>
      </w:r>
      <w:r w:rsidR="004F5DA1">
        <w:rPr>
          <w:rFonts w:eastAsia="Times New Roman" w:cs="Times New Roman"/>
          <w:sz w:val="24"/>
          <w:szCs w:val="24"/>
        </w:rPr>
        <w:t xml:space="preserve"> </w:t>
      </w:r>
    </w:p>
    <w:p w14:paraId="1627D8BD" w14:textId="300C2A27" w:rsidR="00D46393" w:rsidRDefault="003B4362" w:rsidP="00633945">
      <w:pPr>
        <w:spacing w:after="0" w:line="480" w:lineRule="auto"/>
        <w:jc w:val="both"/>
        <w:rPr>
          <w:rFonts w:cs="Times New Roman"/>
          <w:b/>
          <w:sz w:val="24"/>
          <w:szCs w:val="24"/>
          <w:lang w:val="en-GB"/>
        </w:rPr>
      </w:pPr>
      <w:r>
        <w:rPr>
          <w:rFonts w:eastAsia="Times New Roman" w:cs="Times New Roman"/>
          <w:sz w:val="24"/>
          <w:szCs w:val="24"/>
        </w:rPr>
        <w:tab/>
      </w:r>
      <w:r w:rsidR="000B40D3" w:rsidRPr="00621537">
        <w:rPr>
          <w:rFonts w:eastAsia="Times New Roman" w:cs="Times New Roman"/>
          <w:sz w:val="24"/>
          <w:szCs w:val="24"/>
        </w:rPr>
        <w:t>In the cartographic rendering of the table of contents, this story is rendered ‘</w:t>
      </w:r>
      <w:r w:rsidR="000B40D3" w:rsidRPr="00621537">
        <w:rPr>
          <w:rFonts w:cs="Times New Roman"/>
          <w:sz w:val="24"/>
          <w:szCs w:val="24"/>
        </w:rPr>
        <w:t xml:space="preserve">Ctesylla; into a dove after death’. But this tells us little about what a metamorphosis myth in fact is, let alone what this one in particular does. </w:t>
      </w:r>
      <w:r w:rsidR="000B40D3" w:rsidRPr="00621537">
        <w:rPr>
          <w:rFonts w:eastAsia="Times New Roman" w:cs="Times New Roman"/>
          <w:sz w:val="24"/>
          <w:szCs w:val="24"/>
        </w:rPr>
        <w:t xml:space="preserve">Antoninus’ stories are marked by moments of intense emotion. In Ctesylla’s story, emotion functions almost as an agent of metamorphosis: </w:t>
      </w:r>
      <w:r w:rsidR="000B40D3" w:rsidRPr="00621537">
        <w:rPr>
          <w:rFonts w:cs="Times New Roman"/>
          <w:sz w:val="24"/>
          <w:szCs w:val="24"/>
          <w:lang w:val="en-GB"/>
        </w:rPr>
        <w:t xml:space="preserve">her miscarriage precipitates transformation into a dove; more than this, Hermochares’ devotion precipitates another metamorphosis (not captured in the table of contents) whereby the Ctesylla who appears at the beginning becomes Aphrodite Ctesylla at the end. These profound internal experiences are not logged in the table of contents and so are invisible within its cartographic plan. In any case, to understand this motif as simply Antoninus’ distinctive signature is to miss its precise effect at its first occurrence; in the first entry, Antoninus </w:t>
      </w:r>
      <w:r w:rsidR="000B40D3" w:rsidRPr="00621537">
        <w:rPr>
          <w:rFonts w:cs="Times New Roman"/>
          <w:i/>
          <w:sz w:val="24"/>
          <w:szCs w:val="24"/>
          <w:lang w:val="en-GB"/>
        </w:rPr>
        <w:t xml:space="preserve">demonstrates </w:t>
      </w:r>
      <w:r w:rsidR="000B40D3" w:rsidRPr="00621537">
        <w:rPr>
          <w:rFonts w:cs="Times New Roman"/>
          <w:sz w:val="24"/>
          <w:szCs w:val="24"/>
          <w:lang w:val="en-GB"/>
        </w:rPr>
        <w:t xml:space="preserve">his theme by transforming the love-story of Callimachus (the aetiology for a Coan dynasty) into a metamorphosis story, again Coan, again aetiological. His announcement is not dependent on mythic content, but on phenomenological effect: the reader experiences for herself the juddering shifts of narrative as the metamorphosis trope makes itself known. The rubric of the table of contents </w:t>
      </w:r>
      <w:r w:rsidR="000B40D3" w:rsidRPr="00621537">
        <w:rPr>
          <w:rFonts w:cs="Times New Roman"/>
          <w:sz w:val="24"/>
          <w:szCs w:val="24"/>
        </w:rPr>
        <w:t xml:space="preserve">(‘x into a y’) assumes that transformation is both integral to the collection and its defining feature. According to this list, text is inert and its contents obvious. </w:t>
      </w:r>
      <w:r w:rsidR="000B40D3" w:rsidRPr="00621537">
        <w:rPr>
          <w:rFonts w:cs="Times New Roman"/>
          <w:sz w:val="24"/>
          <w:szCs w:val="24"/>
          <w:lang w:val="en-GB"/>
        </w:rPr>
        <w:t>But to the reader of the first entry, the actual metamorphosis materiali</w:t>
      </w:r>
      <w:r w:rsidR="0072529D" w:rsidRPr="00621537">
        <w:rPr>
          <w:rFonts w:cs="Times New Roman"/>
          <w:sz w:val="24"/>
          <w:szCs w:val="24"/>
          <w:lang w:val="en-GB"/>
        </w:rPr>
        <w:t>z</w:t>
      </w:r>
      <w:r w:rsidR="000B40D3" w:rsidRPr="00621537">
        <w:rPr>
          <w:rFonts w:cs="Times New Roman"/>
          <w:sz w:val="24"/>
          <w:szCs w:val="24"/>
          <w:lang w:val="en-GB"/>
        </w:rPr>
        <w:t xml:space="preserve">es suddenly, an interloper into the story-world. With time, of course, this sense of disruption pales; as she works her way through the </w:t>
      </w:r>
      <w:r w:rsidR="000B40D3" w:rsidRPr="00621537">
        <w:rPr>
          <w:rFonts w:cs="Times New Roman"/>
          <w:i/>
          <w:sz w:val="24"/>
          <w:szCs w:val="24"/>
          <w:lang w:val="en-GB"/>
        </w:rPr>
        <w:t>Metamorphoses</w:t>
      </w:r>
      <w:r w:rsidR="000B40D3" w:rsidRPr="00621537">
        <w:rPr>
          <w:rFonts w:cs="Times New Roman"/>
          <w:sz w:val="24"/>
          <w:szCs w:val="24"/>
          <w:lang w:val="en-GB"/>
        </w:rPr>
        <w:t>, the reader recogni</w:t>
      </w:r>
      <w:r w:rsidR="0072529D" w:rsidRPr="00621537">
        <w:rPr>
          <w:rFonts w:cs="Times New Roman"/>
          <w:sz w:val="24"/>
          <w:szCs w:val="24"/>
          <w:lang w:val="en-GB"/>
        </w:rPr>
        <w:t>z</w:t>
      </w:r>
      <w:r w:rsidR="000B40D3" w:rsidRPr="00621537">
        <w:rPr>
          <w:rFonts w:cs="Times New Roman"/>
          <w:sz w:val="24"/>
          <w:szCs w:val="24"/>
          <w:lang w:val="en-GB"/>
        </w:rPr>
        <w:t>es that names and places might change, but a general story arc persists, and that it is this story arc – the metamorphosis trope – which qualifies the story for inclusion in the collection</w:t>
      </w:r>
      <w:r w:rsidR="000B40D3" w:rsidRPr="00621537">
        <w:rPr>
          <w:rFonts w:eastAsia="Times New Roman" w:cs="Times New Roman"/>
          <w:sz w:val="24"/>
          <w:szCs w:val="24"/>
          <w:lang w:val="en-GB"/>
        </w:rPr>
        <w:t>. Antoninus’ is a virtuosic display of variety within repetition. It is repetition – the verbal formulae which mark the beginning of entries, the moment of emotional intensity, the inevitable metamorphosis – which gives the text its structure and its logic; but it is variety which provides a reason for its existence. There is no such thing as ‘the paradigmatic metamorphosis ur-myth’. There is only, in practice, a seemingly infinite number of instantiations of it to be experienced in action.</w:t>
      </w:r>
      <w:r w:rsidR="004F5DA1">
        <w:rPr>
          <w:rFonts w:eastAsia="Times New Roman" w:cs="Times New Roman"/>
          <w:sz w:val="24"/>
          <w:szCs w:val="24"/>
          <w:lang w:val="en-GB"/>
        </w:rPr>
        <w:t xml:space="preserve"> </w:t>
      </w:r>
    </w:p>
    <w:p w14:paraId="11B282DC" w14:textId="77777777" w:rsidR="000B40D3" w:rsidRPr="00621537" w:rsidRDefault="000B40D3" w:rsidP="000B40D3">
      <w:pPr>
        <w:spacing w:line="480" w:lineRule="auto"/>
        <w:rPr>
          <w:rFonts w:cs="Times New Roman"/>
          <w:sz w:val="24"/>
          <w:szCs w:val="24"/>
        </w:rPr>
      </w:pPr>
    </w:p>
    <w:p w14:paraId="0852EE3E" w14:textId="3E85A86C" w:rsidR="000B40D3" w:rsidRPr="00621537" w:rsidRDefault="003B4362" w:rsidP="000B40D3">
      <w:pPr>
        <w:spacing w:line="480" w:lineRule="auto"/>
        <w:rPr>
          <w:rFonts w:cs="Times New Roman"/>
          <w:b/>
          <w:sz w:val="24"/>
          <w:szCs w:val="24"/>
          <w:lang w:val="en-GB"/>
        </w:rPr>
      </w:pPr>
      <w:r>
        <w:rPr>
          <w:rFonts w:cs="Times New Roman"/>
          <w:b/>
          <w:sz w:val="24"/>
          <w:szCs w:val="24"/>
          <w:lang w:val="en-GB"/>
        </w:rPr>
        <w:t>VI</w:t>
      </w:r>
      <w:r w:rsidR="000B40D3" w:rsidRPr="00621537">
        <w:rPr>
          <w:rFonts w:cs="Times New Roman"/>
          <w:b/>
          <w:sz w:val="24"/>
          <w:szCs w:val="24"/>
          <w:lang w:val="en-GB"/>
        </w:rPr>
        <w:t>. Conclusion</w:t>
      </w:r>
    </w:p>
    <w:p w14:paraId="708A7C77" w14:textId="289B0097" w:rsidR="000B40D3" w:rsidRPr="00621537" w:rsidRDefault="000B40D3" w:rsidP="000B40D3">
      <w:pPr>
        <w:spacing w:line="480" w:lineRule="auto"/>
        <w:jc w:val="both"/>
        <w:rPr>
          <w:rFonts w:cs="Times New Roman"/>
          <w:sz w:val="24"/>
          <w:szCs w:val="24"/>
          <w:lang w:val="en-GB"/>
        </w:rPr>
      </w:pPr>
      <w:r w:rsidRPr="00621537">
        <w:rPr>
          <w:rFonts w:cs="Times New Roman"/>
          <w:sz w:val="24"/>
          <w:szCs w:val="24"/>
          <w:lang w:val="en-GB"/>
        </w:rPr>
        <w:t>In proposing ‘mythographical topography’ as an analytical framework, we emphasi</w:t>
      </w:r>
      <w:r w:rsidR="0072529D" w:rsidRPr="00621537">
        <w:rPr>
          <w:rFonts w:cs="Times New Roman"/>
          <w:sz w:val="24"/>
          <w:szCs w:val="24"/>
          <w:lang w:val="en-GB"/>
        </w:rPr>
        <w:t>z</w:t>
      </w:r>
      <w:r w:rsidRPr="00621537">
        <w:rPr>
          <w:rFonts w:cs="Times New Roman"/>
          <w:sz w:val="24"/>
          <w:szCs w:val="24"/>
          <w:lang w:val="en-GB"/>
        </w:rPr>
        <w:t xml:space="preserve">e that stories ‘take place’ both concretely and figuratively. The mythographers offer up representations of </w:t>
      </w:r>
      <w:r w:rsidRPr="00621537">
        <w:rPr>
          <w:rFonts w:cs="Times New Roman"/>
          <w:i/>
          <w:sz w:val="24"/>
          <w:szCs w:val="24"/>
          <w:lang w:val="en-GB"/>
        </w:rPr>
        <w:t>m</w:t>
      </w:r>
      <w:r w:rsidR="003B4362">
        <w:rPr>
          <w:rFonts w:cs="Times New Roman"/>
          <w:i/>
          <w:sz w:val="24"/>
          <w:szCs w:val="24"/>
          <w:lang w:val="en-GB"/>
        </w:rPr>
        <w:t>u</w:t>
      </w:r>
      <w:r w:rsidRPr="00621537">
        <w:rPr>
          <w:rFonts w:cs="Times New Roman"/>
          <w:i/>
          <w:sz w:val="24"/>
          <w:szCs w:val="24"/>
          <w:lang w:val="en-GB"/>
        </w:rPr>
        <w:t>thos</w:t>
      </w:r>
      <w:r w:rsidRPr="00621537">
        <w:rPr>
          <w:rFonts w:cs="Times New Roman"/>
          <w:sz w:val="24"/>
          <w:szCs w:val="24"/>
          <w:lang w:val="en-GB"/>
        </w:rPr>
        <w:t xml:space="preserve"> in a linear format, and the material form that these stories take is part of their very substance. Alongside the three forms of </w:t>
      </w:r>
      <w:r w:rsidRPr="00621537">
        <w:rPr>
          <w:rFonts w:cs="Times New Roman"/>
          <w:i/>
          <w:sz w:val="24"/>
          <w:szCs w:val="24"/>
          <w:lang w:val="en-GB"/>
        </w:rPr>
        <w:t>topos</w:t>
      </w:r>
      <w:r w:rsidRPr="00621537">
        <w:rPr>
          <w:rFonts w:cs="Times New Roman"/>
          <w:sz w:val="24"/>
          <w:szCs w:val="24"/>
          <w:lang w:val="en-GB"/>
        </w:rPr>
        <w:t xml:space="preserve"> that we have traced in the </w:t>
      </w:r>
      <w:r w:rsidRPr="00621537">
        <w:rPr>
          <w:rFonts w:cs="Times New Roman"/>
          <w:i/>
          <w:sz w:val="24"/>
          <w:szCs w:val="24"/>
          <w:lang w:val="en-GB"/>
        </w:rPr>
        <w:t>Metamorphoses</w:t>
      </w:r>
      <w:r w:rsidRPr="00621537">
        <w:rPr>
          <w:rFonts w:cs="Times New Roman"/>
          <w:sz w:val="24"/>
          <w:szCs w:val="24"/>
          <w:lang w:val="en-GB"/>
        </w:rPr>
        <w:t xml:space="preserve">, a second paradigm has run through this chapter: the interplay between cartographic and hodological vantage points. Concern with the </w:t>
      </w:r>
      <w:r w:rsidRPr="00621537">
        <w:rPr>
          <w:rFonts w:cs="Times New Roman"/>
          <w:i/>
          <w:sz w:val="24"/>
          <w:szCs w:val="24"/>
          <w:lang w:val="en-GB"/>
        </w:rPr>
        <w:t>content</w:t>
      </w:r>
      <w:r w:rsidRPr="00621537">
        <w:rPr>
          <w:rFonts w:cs="Times New Roman"/>
          <w:sz w:val="24"/>
          <w:szCs w:val="24"/>
          <w:lang w:val="en-GB"/>
        </w:rPr>
        <w:t xml:space="preserve"> of mythography finds value overwhelmingly in cartographical potential; mythographers are indexes of subjects and names, quarriable at will. If we are to return to these texts an experiential value, we must activate their hodological perspectives: immersing oneself in Antoninus’ stories as they unravel opens up the possibility of noticing surprising echoes and connections which could not be predicted from a table of contents. </w:t>
      </w:r>
    </w:p>
    <w:p w14:paraId="23425E99" w14:textId="5D727406" w:rsidR="000B40D3" w:rsidRPr="00621537" w:rsidRDefault="003B4362" w:rsidP="000B40D3">
      <w:pPr>
        <w:spacing w:line="480" w:lineRule="auto"/>
        <w:jc w:val="both"/>
        <w:rPr>
          <w:rFonts w:cs="Times New Roman"/>
          <w:sz w:val="24"/>
          <w:szCs w:val="24"/>
          <w:lang w:val="en-GB"/>
        </w:rPr>
      </w:pPr>
      <w:r>
        <w:rPr>
          <w:rFonts w:cs="Times New Roman"/>
          <w:sz w:val="24"/>
          <w:szCs w:val="24"/>
          <w:lang w:val="en-GB"/>
        </w:rPr>
        <w:tab/>
      </w:r>
      <w:r w:rsidR="000B40D3" w:rsidRPr="00621537">
        <w:rPr>
          <w:rFonts w:cs="Times New Roman"/>
          <w:sz w:val="24"/>
          <w:szCs w:val="24"/>
          <w:lang w:val="en-GB"/>
        </w:rPr>
        <w:t>As a cultural phenomenon, myth is experiential. It is the stuff of ritual, poetic allusion, artistic decoration, and oratorical display. In their revolutionary move to make the mythic narrative an object of study in its own right, mythographers ostentatiously bring different kinds of order to an amorphous, shifting narrative world. They collate stories in sequence, narrate them in homogeneous ways, identify points of analogy which serve as classificatory types. But in finding within these stories their own kind of order, they simultaneously cast into disorder other aspects of significance. We have ended up with not one, but two models of indexing at work in this text, one set within the other. At the smallest scale, the copyist’s table of contents allows the reader to chart her own itineraries; it also projects one particular vision of what is important in its contents. This vision is not neutral, for in organi</w:t>
      </w:r>
      <w:r w:rsidR="007B7502" w:rsidRPr="00621537">
        <w:rPr>
          <w:rFonts w:cs="Times New Roman"/>
          <w:sz w:val="24"/>
          <w:szCs w:val="24"/>
          <w:lang w:val="en-GB"/>
        </w:rPr>
        <w:t>z</w:t>
      </w:r>
      <w:r w:rsidR="000B40D3" w:rsidRPr="00621537">
        <w:rPr>
          <w:rFonts w:cs="Times New Roman"/>
          <w:sz w:val="24"/>
          <w:szCs w:val="24"/>
          <w:lang w:val="en-GB"/>
        </w:rPr>
        <w:t>ing the text systematically by names and metamorphosed outcomes, it passes over what might otherwise be considered integral to myth: the various particular and peculiar ways in which someone might become a bird, or a stone or a cult statue. It gives us, in other words, the pale, blurry hologram pointing towards the end-game; clarity and focus can only come with reading. Schemati</w:t>
      </w:r>
      <w:r w:rsidR="00A77106" w:rsidRPr="00621537">
        <w:rPr>
          <w:rFonts w:cs="Times New Roman"/>
          <w:sz w:val="24"/>
          <w:szCs w:val="24"/>
          <w:lang w:val="en-GB"/>
        </w:rPr>
        <w:t>z</w:t>
      </w:r>
      <w:r w:rsidR="000B40D3" w:rsidRPr="00621537">
        <w:rPr>
          <w:rFonts w:cs="Times New Roman"/>
          <w:sz w:val="24"/>
          <w:szCs w:val="24"/>
          <w:lang w:val="en-GB"/>
        </w:rPr>
        <w:t xml:space="preserve">ation misses Antoninus’ little details of human drama: the hero’s ingenuity and the heroine’s annoyance; </w:t>
      </w:r>
      <w:r w:rsidR="000B40D3" w:rsidRPr="00621537">
        <w:rPr>
          <w:rFonts w:eastAsia="Times New Roman" w:cs="Times New Roman"/>
          <w:sz w:val="24"/>
          <w:szCs w:val="24"/>
          <w:lang w:val="en-GB"/>
        </w:rPr>
        <w:t>her falling in love ‘at first sight’ with a man to whom she has in fact been long betrothed. Above all it cannot capture th</w:t>
      </w:r>
      <w:r w:rsidR="000B40D3" w:rsidRPr="00621537">
        <w:rPr>
          <w:rFonts w:cs="Times New Roman"/>
          <w:sz w:val="24"/>
          <w:szCs w:val="24"/>
          <w:lang w:val="en-GB"/>
        </w:rPr>
        <w:t xml:space="preserve">e sense of injustice at Ctesylla’s miscarriage and death: her story diverges from Cydippe’s in the crucial detail of her father’s failure to rectify his error and marry his daughter as he had promised, and that becomes the difference between her tragic ending and Cydippe’s happy marriage and flourishing line. </w:t>
      </w:r>
    </w:p>
    <w:p w14:paraId="114E7D4A" w14:textId="0AD9FBD9" w:rsidR="000B40D3" w:rsidRPr="00621537" w:rsidRDefault="003B4362" w:rsidP="000B40D3">
      <w:pPr>
        <w:spacing w:line="480" w:lineRule="auto"/>
        <w:jc w:val="both"/>
        <w:rPr>
          <w:rFonts w:cs="Times New Roman"/>
          <w:sz w:val="24"/>
          <w:szCs w:val="24"/>
          <w:lang w:val="en-GB"/>
        </w:rPr>
      </w:pPr>
      <w:r>
        <w:rPr>
          <w:rFonts w:cs="Times New Roman"/>
          <w:sz w:val="24"/>
          <w:szCs w:val="24"/>
          <w:lang w:val="en-GB"/>
        </w:rPr>
        <w:tab/>
      </w:r>
      <w:r w:rsidR="000B40D3" w:rsidRPr="00621537">
        <w:rPr>
          <w:rFonts w:cs="Times New Roman"/>
          <w:sz w:val="24"/>
          <w:szCs w:val="24"/>
          <w:lang w:val="en-GB"/>
        </w:rPr>
        <w:t xml:space="preserve">But if we take a broader </w:t>
      </w:r>
      <w:r w:rsidR="00331027" w:rsidRPr="00621537">
        <w:rPr>
          <w:rFonts w:cs="Times New Roman"/>
          <w:sz w:val="24"/>
          <w:szCs w:val="24"/>
          <w:lang w:val="en-GB"/>
        </w:rPr>
        <w:t>view,</w:t>
      </w:r>
      <w:r w:rsidR="000B40D3" w:rsidRPr="00621537">
        <w:rPr>
          <w:rFonts w:cs="Times New Roman"/>
          <w:sz w:val="24"/>
          <w:szCs w:val="24"/>
          <w:lang w:val="en-GB"/>
        </w:rPr>
        <w:t xml:space="preserve"> we can understand how the entire text itself might function as an index, for it is likewise engaged in the work of flattening and styli</w:t>
      </w:r>
      <w:r w:rsidR="007B7502" w:rsidRPr="00621537">
        <w:rPr>
          <w:rFonts w:cs="Times New Roman"/>
          <w:sz w:val="24"/>
          <w:szCs w:val="24"/>
          <w:lang w:val="en-GB"/>
        </w:rPr>
        <w:t>z</w:t>
      </w:r>
      <w:r w:rsidR="000B40D3" w:rsidRPr="00621537">
        <w:rPr>
          <w:rFonts w:cs="Times New Roman"/>
          <w:sz w:val="24"/>
          <w:szCs w:val="24"/>
          <w:lang w:val="en-GB"/>
        </w:rPr>
        <w:t>ing the world of myth through its interest in collecting names. Ceos is reduced to a series of toponyms, signifiers and stage</w:t>
      </w:r>
      <w:r>
        <w:rPr>
          <w:rFonts w:cs="Times New Roman"/>
          <w:sz w:val="24"/>
          <w:szCs w:val="24"/>
          <w:lang w:val="en-GB"/>
        </w:rPr>
        <w:t>-</w:t>
      </w:r>
      <w:r w:rsidR="000B40D3" w:rsidRPr="00621537">
        <w:rPr>
          <w:rFonts w:cs="Times New Roman"/>
          <w:sz w:val="24"/>
          <w:szCs w:val="24"/>
          <w:lang w:val="en-GB"/>
        </w:rPr>
        <w:t>sets for the drama without individual colour. These onomastic references fulfil, of course, the need for a story to be set in some locale, but do not replicate the true localism of the myth. Antoninus presents a myth which purports to be, at Ceos, the stuff of ritual; yet this dimension is barely appreciable in the mythographic corpus. Antoninus gives the deified Ctesylla two names there, but who it is that uses one name and who the other, what relevance this lack of consensus has and how it plays out on the ground – these details belong to a different type of account.</w:t>
      </w:r>
      <w:r w:rsidR="000B40D3" w:rsidRPr="00621537">
        <w:rPr>
          <w:rStyle w:val="FootnoteReference"/>
          <w:rFonts w:cs="Times New Roman"/>
        </w:rPr>
        <w:footnoteReference w:id="54"/>
      </w:r>
      <w:r w:rsidR="000B40D3" w:rsidRPr="00621537">
        <w:rPr>
          <w:rFonts w:cs="Times New Roman"/>
          <w:sz w:val="24"/>
          <w:szCs w:val="24"/>
          <w:lang w:val="en-GB"/>
        </w:rPr>
        <w:t xml:space="preserve"> </w:t>
      </w:r>
      <w:r w:rsidR="000B40D3" w:rsidRPr="00621537">
        <w:rPr>
          <w:rFonts w:cs="Times New Roman"/>
          <w:sz w:val="24"/>
          <w:szCs w:val="24"/>
        </w:rPr>
        <w:t xml:space="preserve">What Antoninus’ collection does do is map and re-order the ‘library’ of myth that is its archive. In this manner, the </w:t>
      </w:r>
      <w:r w:rsidR="000B40D3" w:rsidRPr="00621537">
        <w:rPr>
          <w:rFonts w:cs="Times New Roman"/>
          <w:i/>
          <w:sz w:val="24"/>
          <w:szCs w:val="24"/>
        </w:rPr>
        <w:t xml:space="preserve">Metamorphoses </w:t>
      </w:r>
      <w:r w:rsidR="000B40D3" w:rsidRPr="00621537">
        <w:rPr>
          <w:rFonts w:cs="Times New Roman"/>
          <w:sz w:val="24"/>
          <w:szCs w:val="24"/>
        </w:rPr>
        <w:t>functions as a gigantic and expanded catalogue to the textuali</w:t>
      </w:r>
      <w:r w:rsidR="00A77106" w:rsidRPr="00621537">
        <w:rPr>
          <w:rFonts w:cs="Times New Roman"/>
          <w:sz w:val="24"/>
          <w:szCs w:val="24"/>
        </w:rPr>
        <w:t>z</w:t>
      </w:r>
      <w:r w:rsidR="000B40D3" w:rsidRPr="00621537">
        <w:rPr>
          <w:rFonts w:cs="Times New Roman"/>
          <w:sz w:val="24"/>
          <w:szCs w:val="24"/>
        </w:rPr>
        <w:t xml:space="preserve">ed world of myth; Antoninus plays with and revises the stories of his – and the reader’s – inheritance, while, quite paradoxically, omitting those specific references which would connect his </w:t>
      </w:r>
      <w:r w:rsidR="000B40D3" w:rsidRPr="00621537">
        <w:rPr>
          <w:rFonts w:cs="Times New Roman"/>
          <w:i/>
          <w:sz w:val="24"/>
          <w:szCs w:val="24"/>
        </w:rPr>
        <w:t xml:space="preserve">topoi </w:t>
      </w:r>
      <w:r w:rsidR="000B40D3" w:rsidRPr="00621537">
        <w:rPr>
          <w:rFonts w:cs="Times New Roman"/>
          <w:sz w:val="24"/>
          <w:szCs w:val="24"/>
        </w:rPr>
        <w:t xml:space="preserve">to those precise </w:t>
      </w:r>
      <w:r w:rsidR="000B40D3" w:rsidRPr="00621537">
        <w:rPr>
          <w:rFonts w:cs="Times New Roman"/>
          <w:i/>
          <w:sz w:val="24"/>
          <w:szCs w:val="24"/>
        </w:rPr>
        <w:t xml:space="preserve">topoi </w:t>
      </w:r>
      <w:r w:rsidR="000B40D3" w:rsidRPr="00621537">
        <w:rPr>
          <w:rFonts w:cs="Times New Roman"/>
          <w:sz w:val="24"/>
          <w:szCs w:val="24"/>
        </w:rPr>
        <w:t>elsewhere which underpin his allusive mythographic practice.</w:t>
      </w:r>
    </w:p>
    <w:p w14:paraId="46620511" w14:textId="77777777" w:rsidR="00D46393" w:rsidRDefault="00D46393" w:rsidP="00633945">
      <w:pPr>
        <w:spacing w:line="480" w:lineRule="auto"/>
        <w:jc w:val="both"/>
        <w:rPr>
          <w:rFonts w:cs="Times New Roman"/>
          <w:sz w:val="24"/>
          <w:szCs w:val="24"/>
        </w:rPr>
      </w:pPr>
    </w:p>
    <w:p w14:paraId="396948A0" w14:textId="77777777" w:rsidR="000B40D3" w:rsidRPr="00621537" w:rsidRDefault="000B40D3" w:rsidP="000B40D3">
      <w:pPr>
        <w:spacing w:line="480" w:lineRule="auto"/>
        <w:ind w:left="284" w:hanging="284"/>
        <w:rPr>
          <w:rFonts w:cs="Times New Roman"/>
          <w:b/>
          <w:sz w:val="24"/>
          <w:szCs w:val="24"/>
          <w:u w:val="single"/>
        </w:rPr>
      </w:pPr>
      <w:r w:rsidRPr="00621537">
        <w:rPr>
          <w:rFonts w:cs="Times New Roman"/>
          <w:b/>
          <w:sz w:val="24"/>
          <w:szCs w:val="24"/>
          <w:u w:val="single"/>
        </w:rPr>
        <w:t>Bibliography</w:t>
      </w:r>
    </w:p>
    <w:p w14:paraId="1713E7BC" w14:textId="77777777" w:rsidR="000B40D3" w:rsidRPr="00621537" w:rsidRDefault="000B40D3" w:rsidP="000B40D3">
      <w:pPr>
        <w:pStyle w:val="Bibliography"/>
        <w:rPr>
          <w:rFonts w:cs="Times New Roman"/>
          <w:sz w:val="24"/>
          <w:szCs w:val="24"/>
        </w:rPr>
      </w:pPr>
      <w:r w:rsidRPr="00621537">
        <w:rPr>
          <w:rFonts w:cs="Times New Roman"/>
          <w:sz w:val="24"/>
          <w:szCs w:val="24"/>
        </w:rPr>
        <w:t xml:space="preserve">Alcock, S.E. (1996) ‘Landscapes of memory and the authority of Pausanias’, in J. Bingen (ed.), </w:t>
      </w:r>
      <w:r w:rsidRPr="00621537">
        <w:rPr>
          <w:rFonts w:cs="Times New Roman"/>
          <w:i/>
          <w:iCs/>
          <w:sz w:val="24"/>
          <w:szCs w:val="24"/>
        </w:rPr>
        <w:t xml:space="preserve">Pausanias </w:t>
      </w:r>
      <w:r w:rsidR="00595239" w:rsidRPr="00621537">
        <w:rPr>
          <w:rFonts w:cs="Times New Roman"/>
          <w:i/>
          <w:iCs/>
          <w:sz w:val="24"/>
          <w:szCs w:val="24"/>
        </w:rPr>
        <w:t>H</w:t>
      </w:r>
      <w:r w:rsidRPr="00621537">
        <w:rPr>
          <w:rFonts w:cs="Times New Roman"/>
          <w:i/>
          <w:iCs/>
          <w:sz w:val="24"/>
          <w:szCs w:val="24"/>
        </w:rPr>
        <w:t>istorien</w:t>
      </w:r>
      <w:r w:rsidRPr="00621537">
        <w:rPr>
          <w:rFonts w:cs="Times New Roman"/>
          <w:sz w:val="24"/>
          <w:szCs w:val="24"/>
        </w:rPr>
        <w:t xml:space="preserve"> (Geneva) 241–76</w:t>
      </w:r>
    </w:p>
    <w:p w14:paraId="71ADE751" w14:textId="77777777" w:rsidR="000B40D3" w:rsidRPr="00621537" w:rsidRDefault="000B40D3" w:rsidP="000B40D3">
      <w:pPr>
        <w:pStyle w:val="Bibliography"/>
        <w:rPr>
          <w:rFonts w:cs="Times New Roman"/>
          <w:sz w:val="24"/>
          <w:szCs w:val="24"/>
          <w:lang w:val="es-ES"/>
        </w:rPr>
      </w:pPr>
      <w:r w:rsidRPr="00621537">
        <w:rPr>
          <w:rFonts w:cs="Times New Roman"/>
          <w:sz w:val="24"/>
          <w:szCs w:val="24"/>
          <w:lang w:val="es-ES"/>
        </w:rPr>
        <w:t xml:space="preserve">Alganza Roldán, M. (2006) ‘La mitografía como género de la prosa helenística: cuestiones previas’, </w:t>
      </w:r>
      <w:r w:rsidRPr="00621537">
        <w:rPr>
          <w:rFonts w:cs="Times New Roman"/>
          <w:i/>
          <w:iCs/>
          <w:sz w:val="24"/>
          <w:szCs w:val="24"/>
          <w:lang w:val="es-ES"/>
        </w:rPr>
        <w:t>Florentia Iliberr.</w:t>
      </w:r>
      <w:r w:rsidRPr="00621537">
        <w:rPr>
          <w:rFonts w:cs="Times New Roman"/>
          <w:sz w:val="24"/>
          <w:szCs w:val="24"/>
          <w:lang w:val="es-ES"/>
        </w:rPr>
        <w:t xml:space="preserve"> 17, 9–37</w:t>
      </w:r>
    </w:p>
    <w:p w14:paraId="37900E54" w14:textId="77777777" w:rsidR="000B40D3" w:rsidRPr="00621537" w:rsidRDefault="000B40D3" w:rsidP="000B40D3">
      <w:pPr>
        <w:pStyle w:val="Bibliography"/>
        <w:rPr>
          <w:rFonts w:cs="Times New Roman"/>
          <w:sz w:val="24"/>
          <w:szCs w:val="24"/>
          <w:lang w:val="es-ES"/>
        </w:rPr>
      </w:pPr>
      <w:r w:rsidRPr="00621537">
        <w:rPr>
          <w:rFonts w:cs="Times New Roman"/>
          <w:sz w:val="24"/>
          <w:szCs w:val="24"/>
          <w:lang w:val="es-ES"/>
        </w:rPr>
        <w:t xml:space="preserve">----- (2015) ‘Historiadores, logógrafos o mitógrafos? (Sobre la recepción de Hecateo, Ferécides y Helánico)’, </w:t>
      </w:r>
      <w:r w:rsidRPr="00621537">
        <w:rPr>
          <w:rFonts w:cs="Times New Roman"/>
          <w:i/>
          <w:iCs/>
          <w:sz w:val="24"/>
          <w:szCs w:val="24"/>
          <w:lang w:val="es-ES"/>
        </w:rPr>
        <w:t>Polymnia</w:t>
      </w:r>
      <w:r w:rsidRPr="00621537">
        <w:rPr>
          <w:rFonts w:cs="Times New Roman"/>
          <w:sz w:val="24"/>
          <w:szCs w:val="24"/>
          <w:lang w:val="es-ES"/>
        </w:rPr>
        <w:t xml:space="preserve"> 1,</w:t>
      </w:r>
      <w:r w:rsidR="007B7502" w:rsidRPr="00621537">
        <w:rPr>
          <w:rFonts w:cs="Times New Roman"/>
          <w:sz w:val="24"/>
          <w:szCs w:val="24"/>
          <w:lang w:val="es-ES"/>
        </w:rPr>
        <w:t xml:space="preserve"> 3-24</w:t>
      </w:r>
    </w:p>
    <w:p w14:paraId="2C8288C1" w14:textId="77777777" w:rsidR="000B40D3" w:rsidRPr="00621537" w:rsidRDefault="000B40D3" w:rsidP="000B40D3">
      <w:pPr>
        <w:pStyle w:val="Bibliography"/>
        <w:rPr>
          <w:rFonts w:cs="Times New Roman"/>
          <w:sz w:val="24"/>
          <w:szCs w:val="24"/>
        </w:rPr>
      </w:pPr>
      <w:r w:rsidRPr="00621537">
        <w:rPr>
          <w:rFonts w:cs="Times New Roman"/>
          <w:sz w:val="24"/>
          <w:szCs w:val="24"/>
        </w:rPr>
        <w:t xml:space="preserve">Asper, M. (2011) ‘Dimensions of </w:t>
      </w:r>
      <w:r w:rsidR="007B7502" w:rsidRPr="00621537">
        <w:rPr>
          <w:rFonts w:cs="Times New Roman"/>
          <w:sz w:val="24"/>
          <w:szCs w:val="24"/>
        </w:rPr>
        <w:t>p</w:t>
      </w:r>
      <w:r w:rsidRPr="00621537">
        <w:rPr>
          <w:rFonts w:cs="Times New Roman"/>
          <w:sz w:val="24"/>
          <w:szCs w:val="24"/>
        </w:rPr>
        <w:t xml:space="preserve">ower: Callimachean </w:t>
      </w:r>
      <w:r w:rsidR="007B7502" w:rsidRPr="00621537">
        <w:rPr>
          <w:rFonts w:cs="Times New Roman"/>
          <w:sz w:val="24"/>
          <w:szCs w:val="24"/>
        </w:rPr>
        <w:t>g</w:t>
      </w:r>
      <w:r w:rsidRPr="00621537">
        <w:rPr>
          <w:rFonts w:cs="Times New Roman"/>
          <w:sz w:val="24"/>
          <w:szCs w:val="24"/>
        </w:rPr>
        <w:t xml:space="preserve">eopoetics and the Ptolemaic </w:t>
      </w:r>
      <w:r w:rsidR="007B7502" w:rsidRPr="00621537">
        <w:rPr>
          <w:rFonts w:cs="Times New Roman"/>
          <w:sz w:val="24"/>
          <w:szCs w:val="24"/>
        </w:rPr>
        <w:t>e</w:t>
      </w:r>
      <w:r w:rsidRPr="00621537">
        <w:rPr>
          <w:rFonts w:cs="Times New Roman"/>
          <w:sz w:val="24"/>
          <w:szCs w:val="24"/>
        </w:rPr>
        <w:t xml:space="preserve">mpire’, in A.-H. Benjamin, L. Luigi and S. Susan (eds), </w:t>
      </w:r>
      <w:r w:rsidRPr="00621537">
        <w:rPr>
          <w:rFonts w:cs="Times New Roman"/>
          <w:i/>
          <w:iCs/>
          <w:sz w:val="24"/>
          <w:szCs w:val="24"/>
        </w:rPr>
        <w:t>Brill’s Companion to Callimachus</w:t>
      </w:r>
      <w:r w:rsidRPr="00621537">
        <w:rPr>
          <w:rFonts w:cs="Times New Roman"/>
          <w:sz w:val="24"/>
          <w:szCs w:val="24"/>
        </w:rPr>
        <w:t xml:space="preserve"> (Leiden and Boston) 153–77</w:t>
      </w:r>
    </w:p>
    <w:p w14:paraId="26C51E98" w14:textId="77777777" w:rsidR="000B40D3" w:rsidRPr="00621537" w:rsidRDefault="000B40D3" w:rsidP="000B40D3">
      <w:pPr>
        <w:pStyle w:val="Bibliography"/>
        <w:rPr>
          <w:rFonts w:cs="Times New Roman"/>
          <w:sz w:val="24"/>
          <w:szCs w:val="24"/>
        </w:rPr>
      </w:pPr>
      <w:r w:rsidRPr="00621537">
        <w:rPr>
          <w:rFonts w:cs="Times New Roman"/>
          <w:sz w:val="24"/>
          <w:szCs w:val="24"/>
        </w:rPr>
        <w:t xml:space="preserve">Barker, E., Bouzarovski, S., Pelling, C. and Isaksen, L. (2015) </w:t>
      </w:r>
      <w:r w:rsidRPr="00621537">
        <w:rPr>
          <w:rFonts w:cs="Times New Roman"/>
          <w:i/>
          <w:iCs/>
          <w:sz w:val="24"/>
          <w:szCs w:val="24"/>
        </w:rPr>
        <w:t>New Worlds from Old Texts: Revisiting Ancient Space and Place</w:t>
      </w:r>
      <w:r w:rsidRPr="00621537">
        <w:rPr>
          <w:rFonts w:cs="Times New Roman"/>
          <w:sz w:val="24"/>
          <w:szCs w:val="24"/>
        </w:rPr>
        <w:t xml:space="preserve"> (Oxford) </w:t>
      </w:r>
    </w:p>
    <w:p w14:paraId="733375D2" w14:textId="77777777" w:rsidR="000B40D3" w:rsidRPr="00621537" w:rsidRDefault="000B40D3" w:rsidP="000B40D3">
      <w:pPr>
        <w:pStyle w:val="Bibliography"/>
        <w:rPr>
          <w:rFonts w:cs="Times New Roman"/>
          <w:sz w:val="24"/>
          <w:szCs w:val="24"/>
          <w:lang w:val="fr-FR"/>
        </w:rPr>
      </w:pPr>
      <w:r w:rsidRPr="00621537">
        <w:rPr>
          <w:rFonts w:cs="Times New Roman"/>
          <w:sz w:val="24"/>
          <w:szCs w:val="24"/>
          <w:lang w:val="fr-FR"/>
        </w:rPr>
        <w:t>Besson, G., Fabre-Serris, J., Tilliette, J.-Y. and Zucker, A. (eds) (2016) .</w:t>
      </w:r>
      <w:r w:rsidRPr="00621537">
        <w:rPr>
          <w:rFonts w:cs="Times New Roman"/>
          <w:i/>
          <w:iCs/>
          <w:sz w:val="24"/>
          <w:szCs w:val="24"/>
          <w:lang w:val="fr-FR"/>
        </w:rPr>
        <w:t>), Lire les mythes. Formes, usages et visées des pratiques mythographiques de l’Antiquité à la Renaissance</w:t>
      </w:r>
      <w:r w:rsidRPr="00621537">
        <w:rPr>
          <w:rFonts w:cs="Times New Roman"/>
          <w:sz w:val="24"/>
          <w:szCs w:val="24"/>
          <w:lang w:val="fr-FR"/>
        </w:rPr>
        <w:t xml:space="preserve"> (Villeneuve d’Ascq) </w:t>
      </w:r>
    </w:p>
    <w:p w14:paraId="183BF9DE" w14:textId="77777777" w:rsidR="000B40D3" w:rsidRPr="00621537" w:rsidRDefault="000B40D3" w:rsidP="000B40D3">
      <w:pPr>
        <w:pStyle w:val="Bibliography"/>
        <w:rPr>
          <w:rFonts w:cs="Times New Roman"/>
          <w:sz w:val="24"/>
          <w:szCs w:val="24"/>
        </w:rPr>
      </w:pPr>
      <w:r w:rsidRPr="00621537">
        <w:rPr>
          <w:rFonts w:cs="Times New Roman"/>
          <w:sz w:val="24"/>
          <w:szCs w:val="24"/>
        </w:rPr>
        <w:t xml:space="preserve">Buxton, R. (1992) ‘Imaginary Greek </w:t>
      </w:r>
      <w:r w:rsidR="007B7502" w:rsidRPr="00621537">
        <w:rPr>
          <w:rFonts w:cs="Times New Roman"/>
          <w:sz w:val="24"/>
          <w:szCs w:val="24"/>
        </w:rPr>
        <w:t>m</w:t>
      </w:r>
      <w:r w:rsidRPr="00621537">
        <w:rPr>
          <w:rFonts w:cs="Times New Roman"/>
          <w:sz w:val="24"/>
          <w:szCs w:val="24"/>
        </w:rPr>
        <w:t xml:space="preserve">ountains’, </w:t>
      </w:r>
      <w:r w:rsidRPr="00621537">
        <w:rPr>
          <w:rFonts w:cs="Times New Roman"/>
          <w:i/>
          <w:iCs/>
          <w:sz w:val="24"/>
          <w:szCs w:val="24"/>
        </w:rPr>
        <w:t>JHS</w:t>
      </w:r>
      <w:r w:rsidRPr="00621537">
        <w:rPr>
          <w:rFonts w:cs="Times New Roman"/>
          <w:sz w:val="24"/>
          <w:szCs w:val="24"/>
        </w:rPr>
        <w:t xml:space="preserve"> 112, 1–15</w:t>
      </w:r>
    </w:p>
    <w:p w14:paraId="4FED87CC" w14:textId="77777777" w:rsidR="000B40D3" w:rsidRPr="00621537" w:rsidRDefault="000B40D3" w:rsidP="000B40D3">
      <w:pPr>
        <w:pStyle w:val="Bibliography"/>
        <w:rPr>
          <w:rFonts w:cs="Times New Roman"/>
          <w:sz w:val="24"/>
          <w:szCs w:val="24"/>
        </w:rPr>
      </w:pPr>
      <w:r w:rsidRPr="00621537">
        <w:rPr>
          <w:rFonts w:cs="Times New Roman"/>
          <w:sz w:val="24"/>
          <w:szCs w:val="24"/>
        </w:rPr>
        <w:t xml:space="preserve">Calame, C. (2009) </w:t>
      </w:r>
      <w:r w:rsidRPr="00621537">
        <w:rPr>
          <w:rFonts w:cs="Times New Roman"/>
          <w:i/>
          <w:iCs/>
          <w:sz w:val="24"/>
          <w:szCs w:val="24"/>
        </w:rPr>
        <w:t xml:space="preserve">Greek </w:t>
      </w:r>
      <w:r w:rsidR="000204C3" w:rsidRPr="00621537">
        <w:rPr>
          <w:rFonts w:cs="Times New Roman"/>
          <w:i/>
          <w:iCs/>
          <w:sz w:val="24"/>
          <w:szCs w:val="24"/>
        </w:rPr>
        <w:t>M</w:t>
      </w:r>
      <w:r w:rsidRPr="00621537">
        <w:rPr>
          <w:rFonts w:cs="Times New Roman"/>
          <w:i/>
          <w:iCs/>
          <w:sz w:val="24"/>
          <w:szCs w:val="24"/>
        </w:rPr>
        <w:t xml:space="preserve">ythology: </w:t>
      </w:r>
      <w:r w:rsidR="000204C3" w:rsidRPr="00621537">
        <w:rPr>
          <w:rFonts w:cs="Times New Roman"/>
          <w:i/>
          <w:iCs/>
          <w:sz w:val="24"/>
          <w:szCs w:val="24"/>
        </w:rPr>
        <w:t>P</w:t>
      </w:r>
      <w:r w:rsidRPr="00621537">
        <w:rPr>
          <w:rFonts w:cs="Times New Roman"/>
          <w:i/>
          <w:iCs/>
          <w:sz w:val="24"/>
          <w:szCs w:val="24"/>
        </w:rPr>
        <w:t xml:space="preserve">oetics, </w:t>
      </w:r>
      <w:r w:rsidR="000204C3" w:rsidRPr="00621537">
        <w:rPr>
          <w:rFonts w:cs="Times New Roman"/>
          <w:i/>
          <w:iCs/>
          <w:sz w:val="24"/>
          <w:szCs w:val="24"/>
        </w:rPr>
        <w:t>P</w:t>
      </w:r>
      <w:r w:rsidRPr="00621537">
        <w:rPr>
          <w:rFonts w:cs="Times New Roman"/>
          <w:i/>
          <w:iCs/>
          <w:sz w:val="24"/>
          <w:szCs w:val="24"/>
        </w:rPr>
        <w:t xml:space="preserve">ragmatics and </w:t>
      </w:r>
      <w:r w:rsidR="000204C3" w:rsidRPr="00621537">
        <w:rPr>
          <w:rFonts w:cs="Times New Roman"/>
          <w:i/>
          <w:iCs/>
          <w:sz w:val="24"/>
          <w:szCs w:val="24"/>
        </w:rPr>
        <w:t>F</w:t>
      </w:r>
      <w:r w:rsidRPr="00621537">
        <w:rPr>
          <w:rFonts w:cs="Times New Roman"/>
          <w:i/>
          <w:iCs/>
          <w:sz w:val="24"/>
          <w:szCs w:val="24"/>
        </w:rPr>
        <w:t>iction</w:t>
      </w:r>
      <w:r w:rsidRPr="00621537">
        <w:rPr>
          <w:rFonts w:cs="Times New Roman"/>
          <w:sz w:val="24"/>
          <w:szCs w:val="24"/>
        </w:rPr>
        <w:t xml:space="preserve">, tr. J. Lloyd (Cambridge) </w:t>
      </w:r>
    </w:p>
    <w:p w14:paraId="667F8841" w14:textId="77777777" w:rsidR="000B40D3" w:rsidRPr="00621537" w:rsidRDefault="000B40D3" w:rsidP="000B40D3">
      <w:pPr>
        <w:pStyle w:val="Bibliography"/>
        <w:rPr>
          <w:rFonts w:cs="Times New Roman"/>
          <w:sz w:val="24"/>
          <w:szCs w:val="24"/>
        </w:rPr>
      </w:pPr>
      <w:r w:rsidRPr="00621537">
        <w:rPr>
          <w:rFonts w:cs="Times New Roman"/>
          <w:sz w:val="24"/>
          <w:szCs w:val="24"/>
        </w:rPr>
        <w:t xml:space="preserve">Cameron, A. (2004) </w:t>
      </w:r>
      <w:r w:rsidRPr="00621537">
        <w:rPr>
          <w:rFonts w:cs="Times New Roman"/>
          <w:i/>
          <w:iCs/>
          <w:sz w:val="24"/>
          <w:szCs w:val="24"/>
        </w:rPr>
        <w:t xml:space="preserve">Greek </w:t>
      </w:r>
      <w:r w:rsidR="00C51CDF" w:rsidRPr="00621537">
        <w:rPr>
          <w:rFonts w:cs="Times New Roman"/>
          <w:i/>
          <w:iCs/>
          <w:sz w:val="24"/>
          <w:szCs w:val="24"/>
        </w:rPr>
        <w:t>M</w:t>
      </w:r>
      <w:r w:rsidRPr="00621537">
        <w:rPr>
          <w:rFonts w:cs="Times New Roman"/>
          <w:i/>
          <w:iCs/>
          <w:sz w:val="24"/>
          <w:szCs w:val="24"/>
        </w:rPr>
        <w:t xml:space="preserve">ythography in the Roman </w:t>
      </w:r>
      <w:r w:rsidR="00C51CDF" w:rsidRPr="00621537">
        <w:rPr>
          <w:rFonts w:cs="Times New Roman"/>
          <w:i/>
          <w:iCs/>
          <w:sz w:val="24"/>
          <w:szCs w:val="24"/>
        </w:rPr>
        <w:t>W</w:t>
      </w:r>
      <w:r w:rsidRPr="00621537">
        <w:rPr>
          <w:rFonts w:cs="Times New Roman"/>
          <w:i/>
          <w:iCs/>
          <w:sz w:val="24"/>
          <w:szCs w:val="24"/>
        </w:rPr>
        <w:t>orld</w:t>
      </w:r>
      <w:r w:rsidRPr="00621537">
        <w:rPr>
          <w:rFonts w:cs="Times New Roman"/>
          <w:sz w:val="24"/>
          <w:szCs w:val="24"/>
        </w:rPr>
        <w:t xml:space="preserve"> (New York) </w:t>
      </w:r>
    </w:p>
    <w:p w14:paraId="459B1C13" w14:textId="77777777" w:rsidR="000B40D3" w:rsidRPr="00633945" w:rsidRDefault="00D3306C" w:rsidP="000B40D3">
      <w:pPr>
        <w:pStyle w:val="Bibliography"/>
        <w:rPr>
          <w:rFonts w:cs="Times New Roman"/>
          <w:sz w:val="24"/>
          <w:szCs w:val="24"/>
          <w:lang w:val="it-IT"/>
        </w:rPr>
      </w:pPr>
      <w:r w:rsidRPr="00633945">
        <w:rPr>
          <w:rFonts w:cs="Times New Roman"/>
          <w:sz w:val="24"/>
          <w:szCs w:val="24"/>
          <w:lang w:val="it-IT"/>
        </w:rPr>
        <w:t xml:space="preserve">Cazzaniga, I. (1962) </w:t>
      </w:r>
      <w:r w:rsidRPr="00633945">
        <w:rPr>
          <w:rFonts w:cs="Times New Roman"/>
          <w:i/>
          <w:iCs/>
          <w:sz w:val="24"/>
          <w:szCs w:val="24"/>
          <w:lang w:val="it-IT"/>
        </w:rPr>
        <w:t>Antoninus Liberalis: Metamorphoseon Synagoge</w:t>
      </w:r>
      <w:r w:rsidRPr="00633945">
        <w:rPr>
          <w:rFonts w:cs="Times New Roman"/>
          <w:sz w:val="24"/>
          <w:szCs w:val="24"/>
          <w:lang w:val="it-IT"/>
        </w:rPr>
        <w:t xml:space="preserve"> (Milan) </w:t>
      </w:r>
    </w:p>
    <w:p w14:paraId="6A90E568" w14:textId="77777777" w:rsidR="000B40D3" w:rsidRPr="00621537" w:rsidRDefault="000B40D3" w:rsidP="000B40D3">
      <w:pPr>
        <w:pStyle w:val="Bibliography"/>
        <w:rPr>
          <w:rFonts w:cs="Times New Roman"/>
          <w:sz w:val="24"/>
          <w:szCs w:val="24"/>
          <w:lang w:val="fr-FR"/>
        </w:rPr>
      </w:pPr>
      <w:r w:rsidRPr="00621537">
        <w:rPr>
          <w:rFonts w:cs="Times New Roman"/>
          <w:sz w:val="24"/>
          <w:szCs w:val="24"/>
          <w:lang w:val="fr-FR"/>
        </w:rPr>
        <w:t xml:space="preserve">Christin, A.M. (2009) </w:t>
      </w:r>
      <w:r w:rsidRPr="00621537">
        <w:rPr>
          <w:rFonts w:cs="Times New Roman"/>
          <w:i/>
          <w:iCs/>
          <w:sz w:val="24"/>
          <w:szCs w:val="24"/>
          <w:lang w:val="fr-FR"/>
        </w:rPr>
        <w:t>Poétique du blanc: Vide et intervalle dans la civilisation de l’alphabet</w:t>
      </w:r>
      <w:r w:rsidRPr="00621537">
        <w:rPr>
          <w:rFonts w:cs="Times New Roman"/>
          <w:sz w:val="24"/>
          <w:szCs w:val="24"/>
          <w:lang w:val="fr-FR"/>
        </w:rPr>
        <w:t xml:space="preserve"> (Paris) </w:t>
      </w:r>
    </w:p>
    <w:p w14:paraId="53BDC52F" w14:textId="77777777" w:rsidR="000B40D3" w:rsidRPr="00621537" w:rsidRDefault="000B40D3" w:rsidP="000B40D3">
      <w:pPr>
        <w:pStyle w:val="Bibliography"/>
        <w:rPr>
          <w:rFonts w:cs="Times New Roman"/>
          <w:sz w:val="24"/>
          <w:szCs w:val="24"/>
        </w:rPr>
      </w:pPr>
      <w:r w:rsidRPr="00621537">
        <w:rPr>
          <w:rFonts w:cs="Times New Roman"/>
          <w:sz w:val="24"/>
          <w:szCs w:val="24"/>
        </w:rPr>
        <w:t xml:space="preserve">Clarke, K. (2017) ‘Walking through history: unlocking the mythical past’, in G. Hawes (ed.), </w:t>
      </w:r>
      <w:r w:rsidRPr="00621537">
        <w:rPr>
          <w:rFonts w:cs="Times New Roman"/>
          <w:i/>
          <w:iCs/>
          <w:sz w:val="24"/>
          <w:szCs w:val="24"/>
        </w:rPr>
        <w:t xml:space="preserve">Myths on the </w:t>
      </w:r>
      <w:r w:rsidR="006C5A0C" w:rsidRPr="00621537">
        <w:rPr>
          <w:rFonts w:cs="Times New Roman"/>
          <w:i/>
          <w:iCs/>
          <w:sz w:val="24"/>
          <w:szCs w:val="24"/>
        </w:rPr>
        <w:t>M</w:t>
      </w:r>
      <w:r w:rsidRPr="00621537">
        <w:rPr>
          <w:rFonts w:cs="Times New Roman"/>
          <w:i/>
          <w:iCs/>
          <w:sz w:val="24"/>
          <w:szCs w:val="24"/>
        </w:rPr>
        <w:t xml:space="preserve">ap: </w:t>
      </w:r>
      <w:r w:rsidR="007A4E67" w:rsidRPr="00621537">
        <w:rPr>
          <w:rFonts w:cs="Times New Roman"/>
          <w:i/>
          <w:iCs/>
          <w:sz w:val="24"/>
          <w:szCs w:val="24"/>
        </w:rPr>
        <w:t>The</w:t>
      </w:r>
      <w:r w:rsidRPr="00621537">
        <w:rPr>
          <w:rFonts w:cs="Times New Roman"/>
          <w:i/>
          <w:iCs/>
          <w:sz w:val="24"/>
          <w:szCs w:val="24"/>
        </w:rPr>
        <w:t xml:space="preserve"> </w:t>
      </w:r>
      <w:r w:rsidR="006C5A0C" w:rsidRPr="00621537">
        <w:rPr>
          <w:rFonts w:cs="Times New Roman"/>
          <w:i/>
          <w:iCs/>
          <w:sz w:val="24"/>
          <w:szCs w:val="24"/>
        </w:rPr>
        <w:t>S</w:t>
      </w:r>
      <w:r w:rsidRPr="00621537">
        <w:rPr>
          <w:rFonts w:cs="Times New Roman"/>
          <w:i/>
          <w:iCs/>
          <w:sz w:val="24"/>
          <w:szCs w:val="24"/>
        </w:rPr>
        <w:t xml:space="preserve">toried </w:t>
      </w:r>
      <w:r w:rsidR="006C5A0C" w:rsidRPr="00621537">
        <w:rPr>
          <w:rFonts w:cs="Times New Roman"/>
          <w:i/>
          <w:iCs/>
          <w:sz w:val="24"/>
          <w:szCs w:val="24"/>
        </w:rPr>
        <w:t>L</w:t>
      </w:r>
      <w:r w:rsidRPr="00621537">
        <w:rPr>
          <w:rFonts w:cs="Times New Roman"/>
          <w:i/>
          <w:iCs/>
          <w:sz w:val="24"/>
          <w:szCs w:val="24"/>
        </w:rPr>
        <w:t xml:space="preserve">andscapes of </w:t>
      </w:r>
      <w:r w:rsidR="006C5A0C" w:rsidRPr="00621537">
        <w:rPr>
          <w:rFonts w:cs="Times New Roman"/>
          <w:i/>
          <w:iCs/>
          <w:sz w:val="24"/>
          <w:szCs w:val="24"/>
        </w:rPr>
        <w:t>A</w:t>
      </w:r>
      <w:r w:rsidRPr="00621537">
        <w:rPr>
          <w:rFonts w:cs="Times New Roman"/>
          <w:i/>
          <w:iCs/>
          <w:sz w:val="24"/>
          <w:szCs w:val="24"/>
        </w:rPr>
        <w:t>ncient Greece</w:t>
      </w:r>
      <w:r w:rsidRPr="00621537">
        <w:rPr>
          <w:rFonts w:cs="Times New Roman"/>
          <w:sz w:val="24"/>
          <w:szCs w:val="24"/>
        </w:rPr>
        <w:t xml:space="preserve"> (Oxford) 14–31</w:t>
      </w:r>
    </w:p>
    <w:p w14:paraId="32428653" w14:textId="77777777" w:rsidR="000B40D3" w:rsidRPr="00621537" w:rsidRDefault="000B40D3" w:rsidP="000B40D3">
      <w:pPr>
        <w:pStyle w:val="Bibliography"/>
        <w:rPr>
          <w:rFonts w:cs="Times New Roman"/>
          <w:sz w:val="24"/>
          <w:szCs w:val="24"/>
        </w:rPr>
      </w:pPr>
      <w:r w:rsidRPr="00621537">
        <w:rPr>
          <w:rFonts w:cs="Times New Roman"/>
          <w:sz w:val="24"/>
          <w:szCs w:val="24"/>
        </w:rPr>
        <w:t xml:space="preserve">Cohen, A. (2007) ‘Mythic landscapes of Greece’, in R.D. Woodard (ed.), </w:t>
      </w:r>
      <w:r w:rsidRPr="00621537">
        <w:rPr>
          <w:rFonts w:cs="Times New Roman"/>
          <w:i/>
          <w:iCs/>
          <w:sz w:val="24"/>
          <w:szCs w:val="24"/>
        </w:rPr>
        <w:t xml:space="preserve">Cambridge </w:t>
      </w:r>
      <w:r w:rsidR="007A4E67" w:rsidRPr="00621537">
        <w:rPr>
          <w:rFonts w:cs="Times New Roman"/>
          <w:i/>
          <w:iCs/>
          <w:sz w:val="24"/>
          <w:szCs w:val="24"/>
        </w:rPr>
        <w:t>C</w:t>
      </w:r>
      <w:r w:rsidRPr="00621537">
        <w:rPr>
          <w:rFonts w:cs="Times New Roman"/>
          <w:i/>
          <w:iCs/>
          <w:sz w:val="24"/>
          <w:szCs w:val="24"/>
        </w:rPr>
        <w:t xml:space="preserve">ompanion to Greek </w:t>
      </w:r>
      <w:r w:rsidR="007A4E67" w:rsidRPr="00621537">
        <w:rPr>
          <w:rFonts w:cs="Times New Roman"/>
          <w:i/>
          <w:iCs/>
          <w:sz w:val="24"/>
          <w:szCs w:val="24"/>
        </w:rPr>
        <w:t>M</w:t>
      </w:r>
      <w:r w:rsidRPr="00621537">
        <w:rPr>
          <w:rFonts w:cs="Times New Roman"/>
          <w:i/>
          <w:iCs/>
          <w:sz w:val="24"/>
          <w:szCs w:val="24"/>
        </w:rPr>
        <w:t>ythology</w:t>
      </w:r>
      <w:r w:rsidRPr="00621537">
        <w:rPr>
          <w:rFonts w:cs="Times New Roman"/>
          <w:sz w:val="24"/>
          <w:szCs w:val="24"/>
        </w:rPr>
        <w:t xml:space="preserve"> (Cambridge) 305–30</w:t>
      </w:r>
    </w:p>
    <w:p w14:paraId="3D27E75C" w14:textId="77777777" w:rsidR="000B40D3" w:rsidRPr="00621537" w:rsidRDefault="000B40D3" w:rsidP="000B40D3">
      <w:pPr>
        <w:pStyle w:val="Bibliography"/>
        <w:rPr>
          <w:rFonts w:cs="Times New Roman"/>
          <w:sz w:val="24"/>
          <w:szCs w:val="24"/>
          <w:lang w:val="fr-FR"/>
        </w:rPr>
      </w:pPr>
      <w:r w:rsidRPr="00621537">
        <w:rPr>
          <w:rFonts w:cs="Times New Roman"/>
          <w:sz w:val="24"/>
          <w:szCs w:val="24"/>
          <w:lang w:val="fr-FR"/>
        </w:rPr>
        <w:t xml:space="preserve">Delattre, C. (2013) ‘Pentaméron mythographique: les Grecs ont-ils écrit leurs mythes’, </w:t>
      </w:r>
      <w:r w:rsidRPr="00621537">
        <w:rPr>
          <w:rFonts w:cs="Times New Roman"/>
          <w:i/>
          <w:iCs/>
          <w:sz w:val="24"/>
          <w:szCs w:val="24"/>
          <w:lang w:val="fr-FR"/>
        </w:rPr>
        <w:t>Lalies</w:t>
      </w:r>
      <w:r w:rsidRPr="00621537">
        <w:rPr>
          <w:rFonts w:cs="Times New Roman"/>
          <w:sz w:val="24"/>
          <w:szCs w:val="24"/>
          <w:lang w:val="fr-FR"/>
        </w:rPr>
        <w:t xml:space="preserve"> 33, 77–170</w:t>
      </w:r>
    </w:p>
    <w:p w14:paraId="3EE379A8" w14:textId="77777777" w:rsidR="000B40D3" w:rsidRPr="00621537" w:rsidRDefault="000B40D3" w:rsidP="000B40D3">
      <w:pPr>
        <w:pStyle w:val="Bibliography"/>
        <w:rPr>
          <w:rFonts w:cs="Times New Roman"/>
          <w:sz w:val="24"/>
          <w:szCs w:val="24"/>
        </w:rPr>
      </w:pPr>
      <w:r w:rsidRPr="00621537">
        <w:rPr>
          <w:rFonts w:cs="Times New Roman"/>
          <w:sz w:val="24"/>
          <w:szCs w:val="24"/>
        </w:rPr>
        <w:t xml:space="preserve">----- (2017a) ‘Islands of knowledge: space and names in imperial mythography’, in G. Hawes (ed.), </w:t>
      </w:r>
      <w:r w:rsidRPr="00621537">
        <w:rPr>
          <w:rFonts w:cs="Times New Roman"/>
          <w:i/>
          <w:iCs/>
          <w:sz w:val="24"/>
          <w:szCs w:val="24"/>
        </w:rPr>
        <w:t xml:space="preserve">Myths on the </w:t>
      </w:r>
      <w:r w:rsidR="007A4E67" w:rsidRPr="00621537">
        <w:rPr>
          <w:rFonts w:cs="Times New Roman"/>
          <w:i/>
          <w:iCs/>
          <w:sz w:val="24"/>
          <w:szCs w:val="24"/>
        </w:rPr>
        <w:t>M</w:t>
      </w:r>
      <w:r w:rsidRPr="00621537">
        <w:rPr>
          <w:rFonts w:cs="Times New Roman"/>
          <w:i/>
          <w:iCs/>
          <w:sz w:val="24"/>
          <w:szCs w:val="24"/>
        </w:rPr>
        <w:t xml:space="preserve">ap: </w:t>
      </w:r>
      <w:r w:rsidR="007A4E67" w:rsidRPr="00621537">
        <w:rPr>
          <w:rFonts w:cs="Times New Roman"/>
          <w:i/>
          <w:iCs/>
          <w:sz w:val="24"/>
          <w:szCs w:val="24"/>
        </w:rPr>
        <w:t>The</w:t>
      </w:r>
      <w:r w:rsidRPr="00621537">
        <w:rPr>
          <w:rFonts w:cs="Times New Roman"/>
          <w:i/>
          <w:iCs/>
          <w:sz w:val="24"/>
          <w:szCs w:val="24"/>
        </w:rPr>
        <w:t xml:space="preserve"> </w:t>
      </w:r>
      <w:r w:rsidR="007A4E67" w:rsidRPr="00621537">
        <w:rPr>
          <w:rFonts w:cs="Times New Roman"/>
          <w:i/>
          <w:iCs/>
          <w:sz w:val="24"/>
          <w:szCs w:val="24"/>
        </w:rPr>
        <w:t>S</w:t>
      </w:r>
      <w:r w:rsidRPr="00621537">
        <w:rPr>
          <w:rFonts w:cs="Times New Roman"/>
          <w:i/>
          <w:iCs/>
          <w:sz w:val="24"/>
          <w:szCs w:val="24"/>
        </w:rPr>
        <w:t xml:space="preserve">toried </w:t>
      </w:r>
      <w:r w:rsidR="007A4E67" w:rsidRPr="00621537">
        <w:rPr>
          <w:rFonts w:cs="Times New Roman"/>
          <w:i/>
          <w:iCs/>
          <w:sz w:val="24"/>
          <w:szCs w:val="24"/>
        </w:rPr>
        <w:t>L</w:t>
      </w:r>
      <w:r w:rsidRPr="00621537">
        <w:rPr>
          <w:rFonts w:cs="Times New Roman"/>
          <w:i/>
          <w:iCs/>
          <w:sz w:val="24"/>
          <w:szCs w:val="24"/>
        </w:rPr>
        <w:t xml:space="preserve">andscapes of </w:t>
      </w:r>
      <w:r w:rsidR="007A4E67" w:rsidRPr="00621537">
        <w:rPr>
          <w:rFonts w:cs="Times New Roman"/>
          <w:i/>
          <w:iCs/>
          <w:sz w:val="24"/>
          <w:szCs w:val="24"/>
        </w:rPr>
        <w:t>A</w:t>
      </w:r>
      <w:r w:rsidRPr="00621537">
        <w:rPr>
          <w:rFonts w:cs="Times New Roman"/>
          <w:i/>
          <w:iCs/>
          <w:sz w:val="24"/>
          <w:szCs w:val="24"/>
        </w:rPr>
        <w:t>ncient Greece</w:t>
      </w:r>
      <w:r w:rsidRPr="00621537">
        <w:rPr>
          <w:rFonts w:cs="Times New Roman"/>
          <w:sz w:val="24"/>
          <w:szCs w:val="24"/>
        </w:rPr>
        <w:t xml:space="preserve"> (Oxford) 261–80</w:t>
      </w:r>
    </w:p>
    <w:p w14:paraId="37BEF594" w14:textId="77777777" w:rsidR="000B40D3" w:rsidRPr="00621537" w:rsidRDefault="000B40D3" w:rsidP="000B40D3">
      <w:pPr>
        <w:pStyle w:val="Bibliography"/>
        <w:rPr>
          <w:rFonts w:cs="Times New Roman"/>
          <w:sz w:val="24"/>
          <w:szCs w:val="24"/>
          <w:lang w:val="es-ES"/>
        </w:rPr>
      </w:pPr>
      <w:r w:rsidRPr="00621537">
        <w:rPr>
          <w:rFonts w:cs="Times New Roman"/>
          <w:sz w:val="24"/>
          <w:szCs w:val="24"/>
          <w:lang w:val="fr-FR"/>
        </w:rPr>
        <w:t xml:space="preserve">----- (2017b) ‘Récit mythographique et intrigues. </w:t>
      </w:r>
      <w:r w:rsidRPr="00621537">
        <w:rPr>
          <w:rFonts w:cs="Times New Roman"/>
          <w:sz w:val="24"/>
          <w:szCs w:val="24"/>
          <w:lang w:val="es-ES"/>
        </w:rPr>
        <w:t xml:space="preserve">Le cas d’Antoninus Liberalis’, in M. Alganza Roldán and P. Papadopoulos (eds), </w:t>
      </w:r>
      <w:r w:rsidRPr="00621537">
        <w:rPr>
          <w:rFonts w:cs="Times New Roman"/>
          <w:i/>
          <w:iCs/>
          <w:sz w:val="24"/>
          <w:szCs w:val="24"/>
          <w:lang w:val="es-ES"/>
        </w:rPr>
        <w:t>La mitología griega en la tradición literaria: de la Antigüedad a la Grecia contemporánea</w:t>
      </w:r>
      <w:r w:rsidRPr="00621537">
        <w:rPr>
          <w:rFonts w:cs="Times New Roman"/>
          <w:sz w:val="24"/>
          <w:szCs w:val="24"/>
          <w:lang w:val="es-ES"/>
        </w:rPr>
        <w:t xml:space="preserve"> (Granada) 99–120</w:t>
      </w:r>
    </w:p>
    <w:p w14:paraId="33DFF68C" w14:textId="77777777" w:rsidR="000B40D3" w:rsidRPr="00621537" w:rsidRDefault="000B40D3" w:rsidP="000B40D3">
      <w:pPr>
        <w:pStyle w:val="Bibliography"/>
        <w:rPr>
          <w:rFonts w:cs="Times New Roman"/>
          <w:sz w:val="24"/>
          <w:szCs w:val="24"/>
        </w:rPr>
      </w:pPr>
      <w:r w:rsidRPr="00621537">
        <w:rPr>
          <w:rFonts w:cs="Times New Roman"/>
          <w:sz w:val="24"/>
          <w:szCs w:val="24"/>
          <w:lang w:val="fr-FR"/>
        </w:rPr>
        <w:t xml:space="preserve">----- (2019) ‘Duplications, réécritures et intertextualité chez Antoninus Liberalis. </w:t>
      </w:r>
      <w:r w:rsidRPr="00621537">
        <w:rPr>
          <w:rFonts w:cs="Times New Roman"/>
          <w:sz w:val="24"/>
          <w:szCs w:val="24"/>
        </w:rPr>
        <w:t xml:space="preserve">Céphale, Procris et le renard de Teumesse’, </w:t>
      </w:r>
      <w:r w:rsidRPr="00621537">
        <w:rPr>
          <w:rFonts w:cs="Times New Roman"/>
          <w:i/>
          <w:iCs/>
          <w:sz w:val="24"/>
          <w:szCs w:val="24"/>
        </w:rPr>
        <w:t>Polymnia</w:t>
      </w:r>
      <w:r w:rsidRPr="00621537">
        <w:rPr>
          <w:rFonts w:cs="Times New Roman"/>
          <w:sz w:val="24"/>
          <w:szCs w:val="24"/>
        </w:rPr>
        <w:t xml:space="preserve"> 4,</w:t>
      </w:r>
    </w:p>
    <w:p w14:paraId="32023326" w14:textId="77777777" w:rsidR="000B40D3" w:rsidRPr="00621537" w:rsidRDefault="000B40D3" w:rsidP="000B40D3">
      <w:pPr>
        <w:pStyle w:val="Bibliography"/>
        <w:rPr>
          <w:rFonts w:cs="Times New Roman"/>
          <w:sz w:val="24"/>
          <w:szCs w:val="24"/>
        </w:rPr>
      </w:pPr>
      <w:r w:rsidRPr="00621537">
        <w:rPr>
          <w:rFonts w:cs="Times New Roman"/>
          <w:sz w:val="24"/>
          <w:szCs w:val="24"/>
        </w:rPr>
        <w:t xml:space="preserve">----- (2020) ‘Antoninus Liberalis’, in R.S. Smith and S. Trzaskoma (eds), </w:t>
      </w:r>
      <w:r w:rsidRPr="00621537">
        <w:rPr>
          <w:rFonts w:cs="Times New Roman"/>
          <w:i/>
          <w:iCs/>
          <w:sz w:val="24"/>
          <w:szCs w:val="24"/>
        </w:rPr>
        <w:t>The Oxford Handbook of Greek and Latin Mythography</w:t>
      </w:r>
      <w:r w:rsidRPr="00621537">
        <w:rPr>
          <w:rFonts w:cs="Times New Roman"/>
          <w:sz w:val="24"/>
          <w:szCs w:val="24"/>
        </w:rPr>
        <w:t xml:space="preserve"> (Oxford) </w:t>
      </w:r>
    </w:p>
    <w:p w14:paraId="19710DED" w14:textId="77777777" w:rsidR="000B40D3" w:rsidRPr="00621537" w:rsidRDefault="000B40D3" w:rsidP="000B40D3">
      <w:pPr>
        <w:pStyle w:val="Bibliography"/>
        <w:rPr>
          <w:rFonts w:cs="Times New Roman"/>
          <w:sz w:val="24"/>
          <w:szCs w:val="24"/>
          <w:lang w:val="fr-FR"/>
        </w:rPr>
      </w:pPr>
      <w:r w:rsidRPr="00621537">
        <w:rPr>
          <w:rFonts w:cs="Times New Roman"/>
          <w:sz w:val="24"/>
          <w:szCs w:val="24"/>
          <w:lang w:val="fr-FR"/>
        </w:rPr>
        <w:t xml:space="preserve">Detienne, M. (1981) </w:t>
      </w:r>
      <w:r w:rsidRPr="00621537">
        <w:rPr>
          <w:rFonts w:cs="Times New Roman"/>
          <w:i/>
          <w:iCs/>
          <w:sz w:val="24"/>
          <w:szCs w:val="24"/>
          <w:lang w:val="fr-FR"/>
        </w:rPr>
        <w:t>L’invention de la mythologie</w:t>
      </w:r>
      <w:r w:rsidRPr="00621537">
        <w:rPr>
          <w:rFonts w:cs="Times New Roman"/>
          <w:sz w:val="24"/>
          <w:szCs w:val="24"/>
          <w:lang w:val="fr-FR"/>
        </w:rPr>
        <w:t xml:space="preserve"> (Paris) </w:t>
      </w:r>
    </w:p>
    <w:p w14:paraId="212FFDC3" w14:textId="77777777" w:rsidR="000B40D3" w:rsidRPr="00633945" w:rsidRDefault="00D3306C" w:rsidP="000B40D3">
      <w:pPr>
        <w:pStyle w:val="Bibliography"/>
        <w:rPr>
          <w:rFonts w:cs="Times New Roman"/>
          <w:sz w:val="24"/>
          <w:szCs w:val="24"/>
          <w:lang w:val="it-IT"/>
        </w:rPr>
      </w:pPr>
      <w:r w:rsidRPr="00633945">
        <w:rPr>
          <w:rFonts w:cs="Times New Roman"/>
          <w:sz w:val="24"/>
          <w:szCs w:val="24"/>
          <w:lang w:val="it-IT"/>
        </w:rPr>
        <w:t xml:space="preserve">Eco, U. (1979) </w:t>
      </w:r>
      <w:r w:rsidRPr="00633945">
        <w:rPr>
          <w:rFonts w:cs="Times New Roman"/>
          <w:i/>
          <w:iCs/>
          <w:sz w:val="24"/>
          <w:szCs w:val="24"/>
          <w:lang w:val="it-IT"/>
        </w:rPr>
        <w:t>Lector in fabula</w:t>
      </w:r>
      <w:r w:rsidRPr="00633945">
        <w:rPr>
          <w:rFonts w:cs="Times New Roman"/>
          <w:sz w:val="24"/>
          <w:szCs w:val="24"/>
          <w:lang w:val="it-IT"/>
        </w:rPr>
        <w:t xml:space="preserve"> (Milan) </w:t>
      </w:r>
    </w:p>
    <w:p w14:paraId="4926F250" w14:textId="77777777" w:rsidR="000B40D3" w:rsidRPr="00633945" w:rsidRDefault="00D3306C" w:rsidP="000B40D3">
      <w:pPr>
        <w:pStyle w:val="Bibliography"/>
        <w:rPr>
          <w:rFonts w:cs="Times New Roman"/>
          <w:sz w:val="24"/>
          <w:szCs w:val="24"/>
          <w:lang w:val="it-IT"/>
        </w:rPr>
      </w:pPr>
      <w:r w:rsidRPr="00633945">
        <w:rPr>
          <w:rFonts w:cs="Times New Roman"/>
          <w:sz w:val="24"/>
          <w:szCs w:val="24"/>
          <w:lang w:val="it-IT"/>
        </w:rPr>
        <w:t xml:space="preserve">Fasce, S. (1988) ‘Mitografi’, in F. della Corte (ed.), </w:t>
      </w:r>
      <w:r w:rsidRPr="00633945">
        <w:rPr>
          <w:rFonts w:cs="Times New Roman"/>
          <w:i/>
          <w:iCs/>
          <w:sz w:val="24"/>
          <w:szCs w:val="24"/>
          <w:lang w:val="it-IT"/>
        </w:rPr>
        <w:t>Dizionario degli scrittori greci e latini</w:t>
      </w:r>
      <w:r w:rsidRPr="00633945">
        <w:rPr>
          <w:rFonts w:cs="Times New Roman"/>
          <w:sz w:val="24"/>
          <w:szCs w:val="24"/>
          <w:lang w:val="it-IT"/>
        </w:rPr>
        <w:t xml:space="preserve"> II (Milan) 1367–73</w:t>
      </w:r>
    </w:p>
    <w:p w14:paraId="762AC40C" w14:textId="77777777" w:rsidR="000B40D3" w:rsidRPr="00621537" w:rsidRDefault="000B40D3" w:rsidP="000B40D3">
      <w:pPr>
        <w:pStyle w:val="Bibliography"/>
        <w:rPr>
          <w:rFonts w:cs="Times New Roman"/>
          <w:sz w:val="24"/>
          <w:szCs w:val="24"/>
        </w:rPr>
      </w:pPr>
      <w:r w:rsidRPr="00621537">
        <w:rPr>
          <w:rFonts w:cs="Times New Roman"/>
          <w:sz w:val="24"/>
          <w:szCs w:val="24"/>
        </w:rPr>
        <w:t xml:space="preserve">Fletcher, K.F.B. (2008) ‘Systematic genealogies in Apollodorus’ </w:t>
      </w:r>
      <w:r w:rsidRPr="00621537">
        <w:rPr>
          <w:rFonts w:cs="Times New Roman"/>
          <w:i/>
          <w:iCs/>
          <w:sz w:val="24"/>
          <w:szCs w:val="24"/>
        </w:rPr>
        <w:t>Bibliotheca</w:t>
      </w:r>
      <w:r w:rsidRPr="00621537">
        <w:rPr>
          <w:rFonts w:cs="Times New Roman"/>
          <w:sz w:val="24"/>
          <w:szCs w:val="24"/>
        </w:rPr>
        <w:t xml:space="preserve"> and the exclusion of Rome from Greek myth’, </w:t>
      </w:r>
      <w:r w:rsidRPr="00621537">
        <w:rPr>
          <w:rFonts w:cs="Times New Roman"/>
          <w:i/>
          <w:iCs/>
          <w:sz w:val="24"/>
          <w:szCs w:val="24"/>
        </w:rPr>
        <w:t>ClAnt</w:t>
      </w:r>
      <w:r w:rsidRPr="00621537">
        <w:rPr>
          <w:rFonts w:cs="Times New Roman"/>
          <w:sz w:val="24"/>
          <w:szCs w:val="24"/>
        </w:rPr>
        <w:t xml:space="preserve"> 27, 59–91</w:t>
      </w:r>
    </w:p>
    <w:p w14:paraId="61AFEA28" w14:textId="77777777" w:rsidR="000B40D3" w:rsidRPr="00621537" w:rsidRDefault="000B40D3" w:rsidP="000B40D3">
      <w:pPr>
        <w:pStyle w:val="Bibliography"/>
        <w:rPr>
          <w:rFonts w:cs="Times New Roman"/>
          <w:sz w:val="24"/>
          <w:szCs w:val="24"/>
        </w:rPr>
      </w:pPr>
      <w:r w:rsidRPr="00621537">
        <w:rPr>
          <w:rFonts w:cs="Times New Roman"/>
          <w:sz w:val="24"/>
          <w:szCs w:val="24"/>
        </w:rPr>
        <w:t xml:space="preserve">Fowler, R.L. (2013) </w:t>
      </w:r>
      <w:r w:rsidRPr="00621537">
        <w:rPr>
          <w:rFonts w:cs="Times New Roman"/>
          <w:i/>
          <w:iCs/>
          <w:sz w:val="24"/>
          <w:szCs w:val="24"/>
        </w:rPr>
        <w:t xml:space="preserve">Early Greek </w:t>
      </w:r>
      <w:r w:rsidR="00595239" w:rsidRPr="00621537">
        <w:rPr>
          <w:rFonts w:cs="Times New Roman"/>
          <w:i/>
          <w:iCs/>
          <w:sz w:val="24"/>
          <w:szCs w:val="24"/>
        </w:rPr>
        <w:t>M</w:t>
      </w:r>
      <w:r w:rsidRPr="00621537">
        <w:rPr>
          <w:rFonts w:cs="Times New Roman"/>
          <w:i/>
          <w:iCs/>
          <w:sz w:val="24"/>
          <w:szCs w:val="24"/>
        </w:rPr>
        <w:t>ythography</w:t>
      </w:r>
      <w:r w:rsidRPr="00621537">
        <w:rPr>
          <w:rFonts w:cs="Times New Roman"/>
          <w:sz w:val="24"/>
          <w:szCs w:val="24"/>
        </w:rPr>
        <w:t xml:space="preserve"> 2 (Oxford) </w:t>
      </w:r>
    </w:p>
    <w:p w14:paraId="34B6ECA7" w14:textId="77777777" w:rsidR="000B40D3" w:rsidRPr="00621537" w:rsidRDefault="000B40D3" w:rsidP="000B40D3">
      <w:pPr>
        <w:pStyle w:val="Bibliography"/>
        <w:rPr>
          <w:rFonts w:cs="Times New Roman"/>
          <w:sz w:val="24"/>
          <w:szCs w:val="24"/>
        </w:rPr>
      </w:pPr>
      <w:r w:rsidRPr="00621537">
        <w:rPr>
          <w:rFonts w:cs="Times New Roman"/>
          <w:sz w:val="24"/>
          <w:szCs w:val="24"/>
        </w:rPr>
        <w:t xml:space="preserve">----- (2017) ‘Imaginary itineraries in the beyond’, in G. Hawes (ed.), </w:t>
      </w:r>
      <w:r w:rsidRPr="00621537">
        <w:rPr>
          <w:rFonts w:cs="Times New Roman"/>
          <w:i/>
          <w:iCs/>
          <w:sz w:val="24"/>
          <w:szCs w:val="24"/>
        </w:rPr>
        <w:t xml:space="preserve">Myths on the </w:t>
      </w:r>
      <w:r w:rsidR="007A4E67" w:rsidRPr="00621537">
        <w:rPr>
          <w:rFonts w:cs="Times New Roman"/>
          <w:i/>
          <w:iCs/>
          <w:sz w:val="24"/>
          <w:szCs w:val="24"/>
        </w:rPr>
        <w:t>M</w:t>
      </w:r>
      <w:r w:rsidRPr="00621537">
        <w:rPr>
          <w:rFonts w:cs="Times New Roman"/>
          <w:i/>
          <w:iCs/>
          <w:sz w:val="24"/>
          <w:szCs w:val="24"/>
        </w:rPr>
        <w:t xml:space="preserve">ap: </w:t>
      </w:r>
      <w:r w:rsidR="007A4E67" w:rsidRPr="00621537">
        <w:rPr>
          <w:rFonts w:cs="Times New Roman"/>
          <w:i/>
          <w:iCs/>
          <w:sz w:val="24"/>
          <w:szCs w:val="24"/>
        </w:rPr>
        <w:t>T</w:t>
      </w:r>
      <w:r w:rsidRPr="00621537">
        <w:rPr>
          <w:rFonts w:cs="Times New Roman"/>
          <w:i/>
          <w:iCs/>
          <w:sz w:val="24"/>
          <w:szCs w:val="24"/>
        </w:rPr>
        <w:t xml:space="preserve">he </w:t>
      </w:r>
      <w:r w:rsidR="007A4E67" w:rsidRPr="00621537">
        <w:rPr>
          <w:rFonts w:cs="Times New Roman"/>
          <w:i/>
          <w:iCs/>
          <w:sz w:val="24"/>
          <w:szCs w:val="24"/>
        </w:rPr>
        <w:t>S</w:t>
      </w:r>
      <w:r w:rsidRPr="00621537">
        <w:rPr>
          <w:rFonts w:cs="Times New Roman"/>
          <w:i/>
          <w:iCs/>
          <w:sz w:val="24"/>
          <w:szCs w:val="24"/>
        </w:rPr>
        <w:t xml:space="preserve">toried </w:t>
      </w:r>
      <w:r w:rsidR="007A4E67" w:rsidRPr="00621537">
        <w:rPr>
          <w:rFonts w:cs="Times New Roman"/>
          <w:i/>
          <w:iCs/>
          <w:sz w:val="24"/>
          <w:szCs w:val="24"/>
        </w:rPr>
        <w:t>L</w:t>
      </w:r>
      <w:r w:rsidRPr="00621537">
        <w:rPr>
          <w:rFonts w:cs="Times New Roman"/>
          <w:i/>
          <w:iCs/>
          <w:sz w:val="24"/>
          <w:szCs w:val="24"/>
        </w:rPr>
        <w:t xml:space="preserve">andscapes of </w:t>
      </w:r>
      <w:r w:rsidR="007A4E67" w:rsidRPr="00621537">
        <w:rPr>
          <w:rFonts w:cs="Times New Roman"/>
          <w:i/>
          <w:iCs/>
          <w:sz w:val="24"/>
          <w:szCs w:val="24"/>
        </w:rPr>
        <w:t>A</w:t>
      </w:r>
      <w:r w:rsidRPr="00621537">
        <w:rPr>
          <w:rFonts w:cs="Times New Roman"/>
          <w:i/>
          <w:iCs/>
          <w:sz w:val="24"/>
          <w:szCs w:val="24"/>
        </w:rPr>
        <w:t>ncient Greece</w:t>
      </w:r>
      <w:r w:rsidRPr="00621537">
        <w:rPr>
          <w:rFonts w:cs="Times New Roman"/>
          <w:sz w:val="24"/>
          <w:szCs w:val="24"/>
        </w:rPr>
        <w:t xml:space="preserve"> (Oxford) 243–60</w:t>
      </w:r>
    </w:p>
    <w:p w14:paraId="68A1A0A0" w14:textId="77777777" w:rsidR="000B40D3" w:rsidRPr="00621537" w:rsidRDefault="000B40D3" w:rsidP="000B40D3">
      <w:pPr>
        <w:pStyle w:val="Bibliography"/>
        <w:rPr>
          <w:rFonts w:cs="Times New Roman"/>
          <w:sz w:val="24"/>
          <w:szCs w:val="24"/>
          <w:lang w:val="fr-FR"/>
        </w:rPr>
      </w:pPr>
      <w:r w:rsidRPr="00621537">
        <w:rPr>
          <w:rFonts w:cs="Times New Roman"/>
          <w:sz w:val="24"/>
          <w:szCs w:val="24"/>
          <w:lang w:val="fr-FR"/>
        </w:rPr>
        <w:t xml:space="preserve">Genette, G. (1969) ‘La littérature et l’espace’, in </w:t>
      </w:r>
      <w:r w:rsidRPr="00621537">
        <w:rPr>
          <w:rFonts w:cs="Times New Roman"/>
          <w:i/>
          <w:iCs/>
          <w:sz w:val="24"/>
          <w:szCs w:val="24"/>
          <w:lang w:val="fr-FR"/>
        </w:rPr>
        <w:t>Figures II</w:t>
      </w:r>
      <w:r w:rsidRPr="00621537">
        <w:rPr>
          <w:rFonts w:cs="Times New Roman"/>
          <w:sz w:val="24"/>
          <w:szCs w:val="24"/>
          <w:lang w:val="fr-FR"/>
        </w:rPr>
        <w:t xml:space="preserve"> (Paris) </w:t>
      </w:r>
      <w:r w:rsidR="005A20FA">
        <w:rPr>
          <w:rFonts w:cs="Times New Roman"/>
          <w:sz w:val="24"/>
          <w:szCs w:val="24"/>
          <w:lang w:val="fr-FR"/>
        </w:rPr>
        <w:t>43-48</w:t>
      </w:r>
    </w:p>
    <w:p w14:paraId="1B9C11CA" w14:textId="77777777" w:rsidR="000B40D3" w:rsidRPr="00621537" w:rsidRDefault="000B40D3" w:rsidP="000B40D3">
      <w:pPr>
        <w:pStyle w:val="Bibliography"/>
        <w:rPr>
          <w:rFonts w:cs="Times New Roman"/>
          <w:sz w:val="24"/>
          <w:szCs w:val="24"/>
        </w:rPr>
      </w:pPr>
      <w:r w:rsidRPr="00621537">
        <w:rPr>
          <w:rFonts w:cs="Times New Roman"/>
          <w:sz w:val="24"/>
          <w:szCs w:val="24"/>
        </w:rPr>
        <w:t xml:space="preserve">Gibson, R. (2014) ‘Starting with the index in Pliny’, in L. Jansen (ed.), </w:t>
      </w:r>
      <w:r w:rsidRPr="00621537">
        <w:rPr>
          <w:rFonts w:cs="Times New Roman"/>
          <w:i/>
          <w:iCs/>
          <w:sz w:val="24"/>
          <w:szCs w:val="24"/>
        </w:rPr>
        <w:t xml:space="preserve">Paratextuality and the </w:t>
      </w:r>
      <w:r w:rsidR="007A4E67" w:rsidRPr="00621537">
        <w:rPr>
          <w:rFonts w:cs="Times New Roman"/>
          <w:i/>
          <w:iCs/>
          <w:sz w:val="24"/>
          <w:szCs w:val="24"/>
        </w:rPr>
        <w:t>R</w:t>
      </w:r>
      <w:r w:rsidRPr="00621537">
        <w:rPr>
          <w:rFonts w:cs="Times New Roman"/>
          <w:i/>
          <w:iCs/>
          <w:sz w:val="24"/>
          <w:szCs w:val="24"/>
        </w:rPr>
        <w:t xml:space="preserve">eader in Roman </w:t>
      </w:r>
      <w:r w:rsidR="007A4E67" w:rsidRPr="00621537">
        <w:rPr>
          <w:rFonts w:cs="Times New Roman"/>
          <w:i/>
          <w:iCs/>
          <w:sz w:val="24"/>
          <w:szCs w:val="24"/>
        </w:rPr>
        <w:t>L</w:t>
      </w:r>
      <w:r w:rsidRPr="00621537">
        <w:rPr>
          <w:rFonts w:cs="Times New Roman"/>
          <w:i/>
          <w:iCs/>
          <w:sz w:val="24"/>
          <w:szCs w:val="24"/>
        </w:rPr>
        <w:t xml:space="preserve">iterature and </w:t>
      </w:r>
      <w:r w:rsidR="007A4E67" w:rsidRPr="00621537">
        <w:rPr>
          <w:rFonts w:cs="Times New Roman"/>
          <w:i/>
          <w:iCs/>
          <w:sz w:val="24"/>
          <w:szCs w:val="24"/>
        </w:rPr>
        <w:t>C</w:t>
      </w:r>
      <w:r w:rsidRPr="00621537">
        <w:rPr>
          <w:rFonts w:cs="Times New Roman"/>
          <w:i/>
          <w:iCs/>
          <w:sz w:val="24"/>
          <w:szCs w:val="24"/>
        </w:rPr>
        <w:t>ulture</w:t>
      </w:r>
      <w:r w:rsidRPr="00621537">
        <w:rPr>
          <w:rFonts w:cs="Times New Roman"/>
          <w:sz w:val="24"/>
          <w:szCs w:val="24"/>
        </w:rPr>
        <w:t xml:space="preserve"> (Cambridge) 33–55</w:t>
      </w:r>
    </w:p>
    <w:p w14:paraId="4D6328EE" w14:textId="77777777" w:rsidR="000B40D3" w:rsidRPr="00621537" w:rsidRDefault="000B40D3" w:rsidP="000B40D3">
      <w:pPr>
        <w:pStyle w:val="Bibliography"/>
        <w:rPr>
          <w:rFonts w:cs="Times New Roman"/>
          <w:sz w:val="24"/>
          <w:szCs w:val="24"/>
        </w:rPr>
      </w:pPr>
      <w:r w:rsidRPr="00621537">
        <w:rPr>
          <w:rFonts w:cs="Times New Roman"/>
          <w:sz w:val="24"/>
          <w:szCs w:val="24"/>
        </w:rPr>
        <w:t xml:space="preserve">Grethlein, J. (2017) </w:t>
      </w:r>
      <w:r w:rsidRPr="00621537">
        <w:rPr>
          <w:rFonts w:cs="Times New Roman"/>
          <w:i/>
          <w:iCs/>
          <w:sz w:val="24"/>
          <w:szCs w:val="24"/>
        </w:rPr>
        <w:t xml:space="preserve">Aesthetic </w:t>
      </w:r>
      <w:r w:rsidR="007A4E67" w:rsidRPr="00621537">
        <w:rPr>
          <w:rFonts w:cs="Times New Roman"/>
          <w:i/>
          <w:iCs/>
          <w:sz w:val="24"/>
          <w:szCs w:val="24"/>
        </w:rPr>
        <w:t>E</w:t>
      </w:r>
      <w:r w:rsidRPr="00621537">
        <w:rPr>
          <w:rFonts w:cs="Times New Roman"/>
          <w:i/>
          <w:iCs/>
          <w:sz w:val="24"/>
          <w:szCs w:val="24"/>
        </w:rPr>
        <w:t xml:space="preserve">xperiences and </w:t>
      </w:r>
      <w:r w:rsidR="007A4E67" w:rsidRPr="00621537">
        <w:rPr>
          <w:rFonts w:cs="Times New Roman"/>
          <w:i/>
          <w:iCs/>
          <w:sz w:val="24"/>
          <w:szCs w:val="24"/>
        </w:rPr>
        <w:t>C</w:t>
      </w:r>
      <w:r w:rsidRPr="00621537">
        <w:rPr>
          <w:rFonts w:cs="Times New Roman"/>
          <w:i/>
          <w:iCs/>
          <w:sz w:val="24"/>
          <w:szCs w:val="24"/>
        </w:rPr>
        <w:t xml:space="preserve">lassical </w:t>
      </w:r>
      <w:r w:rsidR="007A4E67" w:rsidRPr="00621537">
        <w:rPr>
          <w:rFonts w:cs="Times New Roman"/>
          <w:i/>
          <w:iCs/>
          <w:sz w:val="24"/>
          <w:szCs w:val="24"/>
        </w:rPr>
        <w:t>A</w:t>
      </w:r>
      <w:r w:rsidRPr="00621537">
        <w:rPr>
          <w:rFonts w:cs="Times New Roman"/>
          <w:i/>
          <w:iCs/>
          <w:sz w:val="24"/>
          <w:szCs w:val="24"/>
        </w:rPr>
        <w:t xml:space="preserve">ntiquity: </w:t>
      </w:r>
      <w:r w:rsidR="007A4E67" w:rsidRPr="00621537">
        <w:rPr>
          <w:rFonts w:cs="Times New Roman"/>
          <w:i/>
          <w:iCs/>
          <w:sz w:val="24"/>
          <w:szCs w:val="24"/>
        </w:rPr>
        <w:t>T</w:t>
      </w:r>
      <w:r w:rsidRPr="00621537">
        <w:rPr>
          <w:rFonts w:cs="Times New Roman"/>
          <w:i/>
          <w:iCs/>
          <w:sz w:val="24"/>
          <w:szCs w:val="24"/>
        </w:rPr>
        <w:t>he</w:t>
      </w:r>
      <w:r w:rsidR="007A4E67" w:rsidRPr="00621537">
        <w:rPr>
          <w:rFonts w:cs="Times New Roman"/>
          <w:i/>
          <w:iCs/>
          <w:sz w:val="24"/>
          <w:szCs w:val="24"/>
        </w:rPr>
        <w:t xml:space="preserve"> S</w:t>
      </w:r>
      <w:r w:rsidRPr="00621537">
        <w:rPr>
          <w:rFonts w:cs="Times New Roman"/>
          <w:i/>
          <w:iCs/>
          <w:sz w:val="24"/>
          <w:szCs w:val="24"/>
        </w:rPr>
        <w:t xml:space="preserve">ignificance of </w:t>
      </w:r>
      <w:r w:rsidR="007A4E67" w:rsidRPr="00621537">
        <w:rPr>
          <w:rFonts w:cs="Times New Roman"/>
          <w:i/>
          <w:iCs/>
          <w:sz w:val="24"/>
          <w:szCs w:val="24"/>
        </w:rPr>
        <w:t>F</w:t>
      </w:r>
      <w:r w:rsidRPr="00621537">
        <w:rPr>
          <w:rFonts w:cs="Times New Roman"/>
          <w:i/>
          <w:iCs/>
          <w:sz w:val="24"/>
          <w:szCs w:val="24"/>
        </w:rPr>
        <w:t xml:space="preserve">orm in </w:t>
      </w:r>
      <w:r w:rsidR="007A4E67" w:rsidRPr="00621537">
        <w:rPr>
          <w:rFonts w:cs="Times New Roman"/>
          <w:i/>
          <w:iCs/>
          <w:sz w:val="24"/>
          <w:szCs w:val="24"/>
        </w:rPr>
        <w:t>N</w:t>
      </w:r>
      <w:r w:rsidRPr="00621537">
        <w:rPr>
          <w:rFonts w:cs="Times New Roman"/>
          <w:i/>
          <w:iCs/>
          <w:sz w:val="24"/>
          <w:szCs w:val="24"/>
        </w:rPr>
        <w:t xml:space="preserve">arratives and </w:t>
      </w:r>
      <w:r w:rsidR="007A4E67" w:rsidRPr="00621537">
        <w:rPr>
          <w:rFonts w:cs="Times New Roman"/>
          <w:i/>
          <w:iCs/>
          <w:sz w:val="24"/>
          <w:szCs w:val="24"/>
        </w:rPr>
        <w:t>P</w:t>
      </w:r>
      <w:r w:rsidRPr="00621537">
        <w:rPr>
          <w:rFonts w:cs="Times New Roman"/>
          <w:i/>
          <w:iCs/>
          <w:sz w:val="24"/>
          <w:szCs w:val="24"/>
        </w:rPr>
        <w:t>ictures</w:t>
      </w:r>
      <w:r w:rsidRPr="00621537">
        <w:rPr>
          <w:rFonts w:cs="Times New Roman"/>
          <w:sz w:val="24"/>
          <w:szCs w:val="24"/>
        </w:rPr>
        <w:t xml:space="preserve"> (Cambridge) </w:t>
      </w:r>
    </w:p>
    <w:p w14:paraId="7026154A" w14:textId="77777777" w:rsidR="000B40D3" w:rsidRPr="00621537" w:rsidRDefault="000B40D3" w:rsidP="000B40D3">
      <w:pPr>
        <w:pStyle w:val="Bibliography"/>
        <w:rPr>
          <w:rFonts w:cs="Times New Roman"/>
          <w:sz w:val="24"/>
          <w:szCs w:val="24"/>
        </w:rPr>
      </w:pPr>
      <w:r w:rsidRPr="00621537">
        <w:rPr>
          <w:rFonts w:cs="Times New Roman"/>
          <w:sz w:val="24"/>
          <w:szCs w:val="24"/>
        </w:rPr>
        <w:t xml:space="preserve">Hansen, W. (2013) ‘Packaging Greek mythology’, in J.F. Nagy (ed.), </w:t>
      </w:r>
      <w:r w:rsidRPr="00621537">
        <w:rPr>
          <w:rFonts w:cs="Times New Roman"/>
          <w:i/>
          <w:iCs/>
          <w:sz w:val="24"/>
          <w:szCs w:val="24"/>
        </w:rPr>
        <w:t xml:space="preserve">Writing </w:t>
      </w:r>
      <w:r w:rsidR="007A4E67" w:rsidRPr="00621537">
        <w:rPr>
          <w:rFonts w:cs="Times New Roman"/>
          <w:i/>
          <w:iCs/>
          <w:sz w:val="24"/>
          <w:szCs w:val="24"/>
        </w:rPr>
        <w:t>D</w:t>
      </w:r>
      <w:r w:rsidRPr="00621537">
        <w:rPr>
          <w:rFonts w:cs="Times New Roman"/>
          <w:i/>
          <w:iCs/>
          <w:sz w:val="24"/>
          <w:szCs w:val="24"/>
        </w:rPr>
        <w:t xml:space="preserve">own the </w:t>
      </w:r>
      <w:r w:rsidR="007A4E67" w:rsidRPr="00621537">
        <w:rPr>
          <w:rFonts w:cs="Times New Roman"/>
          <w:i/>
          <w:iCs/>
          <w:sz w:val="24"/>
          <w:szCs w:val="24"/>
        </w:rPr>
        <w:t>M</w:t>
      </w:r>
      <w:r w:rsidRPr="00621537">
        <w:rPr>
          <w:rFonts w:cs="Times New Roman"/>
          <w:i/>
          <w:iCs/>
          <w:sz w:val="24"/>
          <w:szCs w:val="24"/>
        </w:rPr>
        <w:t>yths</w:t>
      </w:r>
      <w:r w:rsidRPr="00621537">
        <w:rPr>
          <w:rFonts w:cs="Times New Roman"/>
          <w:sz w:val="24"/>
          <w:szCs w:val="24"/>
        </w:rPr>
        <w:t xml:space="preserve"> (Turnhout) 19–43</w:t>
      </w:r>
    </w:p>
    <w:p w14:paraId="000BA821" w14:textId="679F7C5C" w:rsidR="000B40D3" w:rsidRPr="00621537" w:rsidRDefault="000B40D3" w:rsidP="000B40D3">
      <w:pPr>
        <w:pStyle w:val="Bibliography"/>
        <w:rPr>
          <w:rFonts w:cs="Times New Roman"/>
          <w:sz w:val="24"/>
          <w:szCs w:val="24"/>
        </w:rPr>
      </w:pPr>
      <w:r w:rsidRPr="00621537">
        <w:rPr>
          <w:rFonts w:cs="Times New Roman"/>
          <w:sz w:val="24"/>
          <w:szCs w:val="24"/>
        </w:rPr>
        <w:t>Harrison, S.</w:t>
      </w:r>
      <w:r w:rsidR="003B4362">
        <w:rPr>
          <w:rFonts w:cs="Times New Roman"/>
          <w:sz w:val="24"/>
          <w:szCs w:val="24"/>
        </w:rPr>
        <w:t>J.</w:t>
      </w:r>
      <w:r w:rsidRPr="00621537">
        <w:rPr>
          <w:rFonts w:cs="Times New Roman"/>
          <w:sz w:val="24"/>
          <w:szCs w:val="24"/>
        </w:rPr>
        <w:t xml:space="preserve"> (2002) ‘Literary </w:t>
      </w:r>
      <w:r w:rsidR="00595239" w:rsidRPr="00621537">
        <w:rPr>
          <w:rFonts w:cs="Times New Roman"/>
          <w:sz w:val="24"/>
          <w:szCs w:val="24"/>
        </w:rPr>
        <w:t>t</w:t>
      </w:r>
      <w:r w:rsidRPr="00621537">
        <w:rPr>
          <w:rFonts w:cs="Times New Roman"/>
          <w:sz w:val="24"/>
          <w:szCs w:val="24"/>
        </w:rPr>
        <w:t xml:space="preserve">opography in Apuleius’ </w:t>
      </w:r>
      <w:r w:rsidRPr="00621537">
        <w:rPr>
          <w:rFonts w:cs="Times New Roman"/>
          <w:i/>
          <w:iCs/>
          <w:sz w:val="24"/>
          <w:szCs w:val="24"/>
        </w:rPr>
        <w:t>Metamorphoses</w:t>
      </w:r>
      <w:r w:rsidRPr="00621537">
        <w:rPr>
          <w:rFonts w:cs="Times New Roman"/>
          <w:sz w:val="24"/>
          <w:szCs w:val="24"/>
        </w:rPr>
        <w:t xml:space="preserve">’, in M. Paschalis and S. Frangoulidis (eds), </w:t>
      </w:r>
      <w:r w:rsidRPr="00621537">
        <w:rPr>
          <w:rFonts w:cs="Times New Roman"/>
          <w:i/>
          <w:iCs/>
          <w:sz w:val="24"/>
          <w:szCs w:val="24"/>
        </w:rPr>
        <w:t xml:space="preserve">Space in the </w:t>
      </w:r>
      <w:r w:rsidR="007A4E67" w:rsidRPr="00621537">
        <w:rPr>
          <w:rFonts w:cs="Times New Roman"/>
          <w:i/>
          <w:iCs/>
          <w:sz w:val="24"/>
          <w:szCs w:val="24"/>
        </w:rPr>
        <w:t>A</w:t>
      </w:r>
      <w:r w:rsidRPr="00621537">
        <w:rPr>
          <w:rFonts w:cs="Times New Roman"/>
          <w:i/>
          <w:iCs/>
          <w:sz w:val="24"/>
          <w:szCs w:val="24"/>
        </w:rPr>
        <w:t xml:space="preserve">ncient </w:t>
      </w:r>
      <w:r w:rsidR="007A4E67" w:rsidRPr="00621537">
        <w:rPr>
          <w:rFonts w:cs="Times New Roman"/>
          <w:i/>
          <w:iCs/>
          <w:sz w:val="24"/>
          <w:szCs w:val="24"/>
        </w:rPr>
        <w:t>N</w:t>
      </w:r>
      <w:r w:rsidRPr="00621537">
        <w:rPr>
          <w:rFonts w:cs="Times New Roman"/>
          <w:i/>
          <w:iCs/>
          <w:sz w:val="24"/>
          <w:szCs w:val="24"/>
        </w:rPr>
        <w:t>ovel</w:t>
      </w:r>
      <w:r w:rsidRPr="00621537">
        <w:rPr>
          <w:rFonts w:cs="Times New Roman"/>
          <w:sz w:val="24"/>
          <w:szCs w:val="24"/>
        </w:rPr>
        <w:t xml:space="preserve"> (Groningen) 40–57</w:t>
      </w:r>
    </w:p>
    <w:p w14:paraId="5A3DB15C" w14:textId="77777777" w:rsidR="000B40D3" w:rsidRPr="00621537" w:rsidRDefault="000B40D3" w:rsidP="000B40D3">
      <w:pPr>
        <w:pStyle w:val="Bibliography"/>
        <w:rPr>
          <w:rFonts w:cs="Times New Roman"/>
          <w:sz w:val="24"/>
          <w:szCs w:val="24"/>
        </w:rPr>
      </w:pPr>
      <w:r w:rsidRPr="00621537">
        <w:rPr>
          <w:rFonts w:cs="Times New Roman"/>
          <w:sz w:val="24"/>
          <w:szCs w:val="24"/>
        </w:rPr>
        <w:t xml:space="preserve">Häussler, R. (1984) ‘Grundzüge antiker Mythographie’, in W. Killy (ed.), </w:t>
      </w:r>
      <w:r w:rsidRPr="00621537">
        <w:rPr>
          <w:rFonts w:cs="Times New Roman"/>
          <w:i/>
          <w:iCs/>
          <w:sz w:val="24"/>
          <w:szCs w:val="24"/>
        </w:rPr>
        <w:t>Mythographie der frühen Neuzeit: ihre Anwendung in den Künsten</w:t>
      </w:r>
      <w:r w:rsidRPr="00621537">
        <w:rPr>
          <w:rFonts w:cs="Times New Roman"/>
          <w:sz w:val="24"/>
          <w:szCs w:val="24"/>
        </w:rPr>
        <w:t xml:space="preserve"> (Wiesbaden) 1–23</w:t>
      </w:r>
    </w:p>
    <w:p w14:paraId="0BC9F92F" w14:textId="77777777" w:rsidR="000B40D3" w:rsidRPr="00621537" w:rsidRDefault="000B40D3" w:rsidP="000B40D3">
      <w:pPr>
        <w:pStyle w:val="Bibliography"/>
        <w:rPr>
          <w:rFonts w:cs="Times New Roman"/>
          <w:sz w:val="24"/>
          <w:szCs w:val="24"/>
        </w:rPr>
      </w:pPr>
      <w:r w:rsidRPr="00621537">
        <w:rPr>
          <w:rFonts w:cs="Times New Roman"/>
          <w:sz w:val="24"/>
          <w:szCs w:val="24"/>
        </w:rPr>
        <w:t xml:space="preserve">Hawes, G. (2014a) </w:t>
      </w:r>
      <w:r w:rsidRPr="00621537">
        <w:rPr>
          <w:rFonts w:cs="Times New Roman"/>
          <w:i/>
          <w:iCs/>
          <w:sz w:val="24"/>
          <w:szCs w:val="24"/>
        </w:rPr>
        <w:t xml:space="preserve">Rationalizing </w:t>
      </w:r>
      <w:r w:rsidR="007A4E67" w:rsidRPr="00621537">
        <w:rPr>
          <w:rFonts w:cs="Times New Roman"/>
          <w:i/>
          <w:iCs/>
          <w:sz w:val="24"/>
          <w:szCs w:val="24"/>
        </w:rPr>
        <w:t>M</w:t>
      </w:r>
      <w:r w:rsidRPr="00621537">
        <w:rPr>
          <w:rFonts w:cs="Times New Roman"/>
          <w:i/>
          <w:iCs/>
          <w:sz w:val="24"/>
          <w:szCs w:val="24"/>
        </w:rPr>
        <w:t xml:space="preserve">yth in </w:t>
      </w:r>
      <w:r w:rsidR="007A4E67" w:rsidRPr="00621537">
        <w:rPr>
          <w:rFonts w:cs="Times New Roman"/>
          <w:i/>
          <w:iCs/>
          <w:sz w:val="24"/>
          <w:szCs w:val="24"/>
        </w:rPr>
        <w:t>A</w:t>
      </w:r>
      <w:r w:rsidRPr="00621537">
        <w:rPr>
          <w:rFonts w:cs="Times New Roman"/>
          <w:i/>
          <w:iCs/>
          <w:sz w:val="24"/>
          <w:szCs w:val="24"/>
        </w:rPr>
        <w:t>ntiquity</w:t>
      </w:r>
      <w:r w:rsidRPr="00621537">
        <w:rPr>
          <w:rFonts w:cs="Times New Roman"/>
          <w:sz w:val="24"/>
          <w:szCs w:val="24"/>
        </w:rPr>
        <w:t xml:space="preserve"> (Oxford) </w:t>
      </w:r>
    </w:p>
    <w:p w14:paraId="5E692A42" w14:textId="77777777" w:rsidR="000B40D3" w:rsidRPr="00621537" w:rsidRDefault="000B40D3" w:rsidP="000B40D3">
      <w:pPr>
        <w:pStyle w:val="Bibliography"/>
        <w:rPr>
          <w:rFonts w:cs="Times New Roman"/>
          <w:sz w:val="24"/>
          <w:szCs w:val="24"/>
        </w:rPr>
      </w:pPr>
      <w:r w:rsidRPr="00621537">
        <w:rPr>
          <w:rFonts w:cs="Times New Roman"/>
          <w:sz w:val="24"/>
          <w:szCs w:val="24"/>
        </w:rPr>
        <w:t xml:space="preserve">----- (2014b) ‘Story time at the library: Palaephatus and the emergence of a hyper-literate mythology’, in R. Scodel (ed.), </w:t>
      </w:r>
      <w:r w:rsidRPr="00621537">
        <w:rPr>
          <w:rFonts w:cs="Times New Roman"/>
          <w:i/>
          <w:iCs/>
          <w:sz w:val="24"/>
          <w:szCs w:val="24"/>
        </w:rPr>
        <w:t xml:space="preserve">Between </w:t>
      </w:r>
      <w:r w:rsidR="007A4E67" w:rsidRPr="00621537">
        <w:rPr>
          <w:rFonts w:cs="Times New Roman"/>
          <w:i/>
          <w:iCs/>
          <w:sz w:val="24"/>
          <w:szCs w:val="24"/>
        </w:rPr>
        <w:t>O</w:t>
      </w:r>
      <w:r w:rsidRPr="00621537">
        <w:rPr>
          <w:rFonts w:cs="Times New Roman"/>
          <w:i/>
          <w:iCs/>
          <w:sz w:val="24"/>
          <w:szCs w:val="24"/>
        </w:rPr>
        <w:t xml:space="preserve">rality and </w:t>
      </w:r>
      <w:r w:rsidR="007A4E67" w:rsidRPr="00621537">
        <w:rPr>
          <w:rFonts w:cs="Times New Roman"/>
          <w:i/>
          <w:iCs/>
          <w:sz w:val="24"/>
          <w:szCs w:val="24"/>
        </w:rPr>
        <w:t>L</w:t>
      </w:r>
      <w:r w:rsidRPr="00621537">
        <w:rPr>
          <w:rFonts w:cs="Times New Roman"/>
          <w:i/>
          <w:iCs/>
          <w:sz w:val="24"/>
          <w:szCs w:val="24"/>
        </w:rPr>
        <w:t xml:space="preserve">iteracy: </w:t>
      </w:r>
      <w:r w:rsidR="007A4E67" w:rsidRPr="00621537">
        <w:rPr>
          <w:rFonts w:cs="Times New Roman"/>
          <w:i/>
          <w:iCs/>
          <w:sz w:val="24"/>
          <w:szCs w:val="24"/>
        </w:rPr>
        <w:t>C</w:t>
      </w:r>
      <w:r w:rsidRPr="00621537">
        <w:rPr>
          <w:rFonts w:cs="Times New Roman"/>
          <w:i/>
          <w:iCs/>
          <w:sz w:val="24"/>
          <w:szCs w:val="24"/>
        </w:rPr>
        <w:t xml:space="preserve">ommunication and </w:t>
      </w:r>
      <w:r w:rsidR="007A4E67" w:rsidRPr="00621537">
        <w:rPr>
          <w:rFonts w:cs="Times New Roman"/>
          <w:i/>
          <w:iCs/>
          <w:sz w:val="24"/>
          <w:szCs w:val="24"/>
        </w:rPr>
        <w:t>A</w:t>
      </w:r>
      <w:r w:rsidRPr="00621537">
        <w:rPr>
          <w:rFonts w:cs="Times New Roman"/>
          <w:i/>
          <w:iCs/>
          <w:sz w:val="24"/>
          <w:szCs w:val="24"/>
        </w:rPr>
        <w:t>daptation in</w:t>
      </w:r>
      <w:r w:rsidR="007A4E67" w:rsidRPr="00621537">
        <w:rPr>
          <w:rFonts w:cs="Times New Roman"/>
          <w:i/>
          <w:iCs/>
          <w:sz w:val="24"/>
          <w:szCs w:val="24"/>
        </w:rPr>
        <w:t xml:space="preserve"> A</w:t>
      </w:r>
      <w:r w:rsidRPr="00621537">
        <w:rPr>
          <w:rFonts w:cs="Times New Roman"/>
          <w:i/>
          <w:iCs/>
          <w:sz w:val="24"/>
          <w:szCs w:val="24"/>
        </w:rPr>
        <w:t>ntiquity</w:t>
      </w:r>
      <w:r w:rsidRPr="00621537">
        <w:rPr>
          <w:rFonts w:cs="Times New Roman"/>
          <w:sz w:val="24"/>
          <w:szCs w:val="24"/>
        </w:rPr>
        <w:t xml:space="preserve"> (Leiden) 125–47</w:t>
      </w:r>
    </w:p>
    <w:p w14:paraId="038709EF" w14:textId="77777777" w:rsidR="000B40D3" w:rsidRPr="00621537" w:rsidRDefault="000B40D3" w:rsidP="000B40D3">
      <w:pPr>
        <w:pStyle w:val="Bibliography"/>
        <w:rPr>
          <w:rFonts w:cs="Times New Roman"/>
          <w:sz w:val="24"/>
          <w:szCs w:val="24"/>
        </w:rPr>
      </w:pPr>
      <w:r w:rsidRPr="00621537">
        <w:rPr>
          <w:rFonts w:cs="Times New Roman"/>
          <w:sz w:val="24"/>
          <w:szCs w:val="24"/>
        </w:rPr>
        <w:t xml:space="preserve">----- (ed.) (2017) </w:t>
      </w:r>
      <w:r w:rsidRPr="00621537">
        <w:rPr>
          <w:rFonts w:cs="Times New Roman"/>
          <w:i/>
          <w:iCs/>
          <w:sz w:val="24"/>
          <w:szCs w:val="24"/>
        </w:rPr>
        <w:t xml:space="preserve">Myths on the </w:t>
      </w:r>
      <w:r w:rsidR="007A4E67" w:rsidRPr="00621537">
        <w:rPr>
          <w:rFonts w:cs="Times New Roman"/>
          <w:i/>
          <w:iCs/>
          <w:sz w:val="24"/>
          <w:szCs w:val="24"/>
        </w:rPr>
        <w:t>M</w:t>
      </w:r>
      <w:r w:rsidRPr="00621537">
        <w:rPr>
          <w:rFonts w:cs="Times New Roman"/>
          <w:i/>
          <w:iCs/>
          <w:sz w:val="24"/>
          <w:szCs w:val="24"/>
        </w:rPr>
        <w:t xml:space="preserve">ap: </w:t>
      </w:r>
      <w:r w:rsidR="007A4E67" w:rsidRPr="00621537">
        <w:rPr>
          <w:rFonts w:cs="Times New Roman"/>
          <w:i/>
          <w:iCs/>
          <w:sz w:val="24"/>
          <w:szCs w:val="24"/>
        </w:rPr>
        <w:t>T</w:t>
      </w:r>
      <w:r w:rsidRPr="00621537">
        <w:rPr>
          <w:rFonts w:cs="Times New Roman"/>
          <w:i/>
          <w:iCs/>
          <w:sz w:val="24"/>
          <w:szCs w:val="24"/>
        </w:rPr>
        <w:t xml:space="preserve">he </w:t>
      </w:r>
      <w:r w:rsidR="007A4E67" w:rsidRPr="00621537">
        <w:rPr>
          <w:rFonts w:cs="Times New Roman"/>
          <w:i/>
          <w:iCs/>
          <w:sz w:val="24"/>
          <w:szCs w:val="24"/>
        </w:rPr>
        <w:t>S</w:t>
      </w:r>
      <w:r w:rsidRPr="00621537">
        <w:rPr>
          <w:rFonts w:cs="Times New Roman"/>
          <w:i/>
          <w:iCs/>
          <w:sz w:val="24"/>
          <w:szCs w:val="24"/>
        </w:rPr>
        <w:t xml:space="preserve">toried </w:t>
      </w:r>
      <w:r w:rsidR="007A4E67" w:rsidRPr="00621537">
        <w:rPr>
          <w:rFonts w:cs="Times New Roman"/>
          <w:i/>
          <w:iCs/>
          <w:sz w:val="24"/>
          <w:szCs w:val="24"/>
        </w:rPr>
        <w:t>L</w:t>
      </w:r>
      <w:r w:rsidRPr="00621537">
        <w:rPr>
          <w:rFonts w:cs="Times New Roman"/>
          <w:i/>
          <w:iCs/>
          <w:sz w:val="24"/>
          <w:szCs w:val="24"/>
        </w:rPr>
        <w:t xml:space="preserve">andscapes of </w:t>
      </w:r>
      <w:r w:rsidR="007A4E67" w:rsidRPr="00621537">
        <w:rPr>
          <w:rFonts w:cs="Times New Roman"/>
          <w:i/>
          <w:iCs/>
          <w:sz w:val="24"/>
          <w:szCs w:val="24"/>
        </w:rPr>
        <w:t>A</w:t>
      </w:r>
      <w:r w:rsidRPr="00621537">
        <w:rPr>
          <w:rFonts w:cs="Times New Roman"/>
          <w:i/>
          <w:iCs/>
          <w:sz w:val="24"/>
          <w:szCs w:val="24"/>
        </w:rPr>
        <w:t>ncient Greece</w:t>
      </w:r>
      <w:r w:rsidRPr="00621537">
        <w:rPr>
          <w:rFonts w:cs="Times New Roman"/>
          <w:sz w:val="24"/>
          <w:szCs w:val="24"/>
        </w:rPr>
        <w:t xml:space="preserve"> (Oxford) </w:t>
      </w:r>
    </w:p>
    <w:p w14:paraId="6E94D523" w14:textId="6C72CF07" w:rsidR="00DE0A55" w:rsidRPr="00621537" w:rsidRDefault="00DE0A55" w:rsidP="00DE0A55">
      <w:pPr>
        <w:rPr>
          <w:rFonts w:cs="Times New Roman"/>
          <w:sz w:val="24"/>
          <w:szCs w:val="24"/>
        </w:rPr>
      </w:pPr>
      <w:r w:rsidRPr="00621537">
        <w:rPr>
          <w:rFonts w:cs="Times New Roman"/>
          <w:sz w:val="24"/>
          <w:szCs w:val="24"/>
        </w:rPr>
        <w:t>----- (2018) ‘Pausanias’ Messenian itinerary and the journeys of the past’, in C. Breytenbach and C. Fer</w:t>
      </w:r>
      <w:r w:rsidR="00A43B69">
        <w:rPr>
          <w:rFonts w:cs="Times New Roman"/>
          <w:sz w:val="24"/>
          <w:szCs w:val="24"/>
        </w:rPr>
        <w:t>e</w:t>
      </w:r>
      <w:r w:rsidRPr="00621537">
        <w:rPr>
          <w:rFonts w:cs="Times New Roman"/>
          <w:sz w:val="24"/>
          <w:szCs w:val="24"/>
        </w:rPr>
        <w:t xml:space="preserve">lla (eds), </w:t>
      </w:r>
      <w:r w:rsidRPr="00621537">
        <w:rPr>
          <w:rFonts w:cs="Times New Roman"/>
          <w:i/>
          <w:iCs/>
          <w:sz w:val="24"/>
          <w:szCs w:val="24"/>
        </w:rPr>
        <w:t>Paths of knowledge in antiquity</w:t>
      </w:r>
      <w:r w:rsidRPr="00621537">
        <w:rPr>
          <w:rFonts w:cs="Times New Roman"/>
          <w:sz w:val="24"/>
          <w:szCs w:val="24"/>
        </w:rPr>
        <w:t xml:space="preserve"> (Berlin)</w:t>
      </w:r>
    </w:p>
    <w:p w14:paraId="5EC18C36" w14:textId="77777777" w:rsidR="000B40D3" w:rsidRPr="00621537" w:rsidRDefault="000B40D3" w:rsidP="000B40D3">
      <w:pPr>
        <w:pStyle w:val="Bibliography"/>
        <w:rPr>
          <w:rFonts w:cs="Times New Roman"/>
          <w:sz w:val="24"/>
          <w:szCs w:val="24"/>
        </w:rPr>
      </w:pPr>
      <w:r w:rsidRPr="00621537">
        <w:rPr>
          <w:rFonts w:cs="Times New Roman"/>
          <w:sz w:val="24"/>
          <w:szCs w:val="24"/>
        </w:rPr>
        <w:t xml:space="preserve">----- (2019) ‘The mythographical topography of Pausanias’ </w:t>
      </w:r>
      <w:r w:rsidRPr="00621537">
        <w:rPr>
          <w:rFonts w:cs="Times New Roman"/>
          <w:i/>
          <w:iCs/>
          <w:sz w:val="24"/>
          <w:szCs w:val="24"/>
        </w:rPr>
        <w:t>Periegesis</w:t>
      </w:r>
      <w:r w:rsidRPr="00621537">
        <w:rPr>
          <w:rFonts w:cs="Times New Roman"/>
          <w:sz w:val="24"/>
          <w:szCs w:val="24"/>
        </w:rPr>
        <w:t xml:space="preserve">.’, in J. Marincola and A. Romano (eds), </w:t>
      </w:r>
      <w:r w:rsidRPr="00621537">
        <w:rPr>
          <w:rFonts w:cs="Times New Roman"/>
          <w:i/>
          <w:iCs/>
          <w:sz w:val="24"/>
          <w:szCs w:val="24"/>
        </w:rPr>
        <w:t>Host or Parasite? Mythographers and their Contemporaries</w:t>
      </w:r>
      <w:r w:rsidR="00817DBD" w:rsidRPr="00621537">
        <w:rPr>
          <w:rFonts w:cs="Times New Roman"/>
          <w:i/>
          <w:iCs/>
          <w:sz w:val="24"/>
          <w:szCs w:val="24"/>
        </w:rPr>
        <w:t xml:space="preserve"> in the Classical and Hellenistic Periods</w:t>
      </w:r>
      <w:r w:rsidRPr="00621537">
        <w:rPr>
          <w:rFonts w:cs="Times New Roman"/>
          <w:sz w:val="24"/>
          <w:szCs w:val="24"/>
        </w:rPr>
        <w:t xml:space="preserve"> (Berlin) </w:t>
      </w:r>
    </w:p>
    <w:p w14:paraId="422CCE0E" w14:textId="77777777" w:rsidR="000B40D3" w:rsidRPr="00621537" w:rsidRDefault="000B40D3" w:rsidP="000B40D3">
      <w:pPr>
        <w:pStyle w:val="Bibliography"/>
        <w:rPr>
          <w:rFonts w:cs="Times New Roman"/>
          <w:sz w:val="24"/>
          <w:szCs w:val="24"/>
        </w:rPr>
      </w:pPr>
      <w:r w:rsidRPr="00621537">
        <w:rPr>
          <w:rFonts w:cs="Times New Roman"/>
          <w:sz w:val="24"/>
          <w:szCs w:val="24"/>
        </w:rPr>
        <w:t xml:space="preserve">----- (2021) </w:t>
      </w:r>
      <w:r w:rsidRPr="00621537">
        <w:rPr>
          <w:rFonts w:cs="Times New Roman"/>
          <w:i/>
          <w:iCs/>
          <w:sz w:val="24"/>
          <w:szCs w:val="24"/>
        </w:rPr>
        <w:t xml:space="preserve">Pausanias in the </w:t>
      </w:r>
      <w:r w:rsidR="004E5F27" w:rsidRPr="00621537">
        <w:rPr>
          <w:rFonts w:cs="Times New Roman"/>
          <w:i/>
          <w:iCs/>
          <w:sz w:val="24"/>
          <w:szCs w:val="24"/>
        </w:rPr>
        <w:t>W</w:t>
      </w:r>
      <w:r w:rsidRPr="00621537">
        <w:rPr>
          <w:rFonts w:cs="Times New Roman"/>
          <w:i/>
          <w:iCs/>
          <w:sz w:val="24"/>
          <w:szCs w:val="24"/>
        </w:rPr>
        <w:t xml:space="preserve">orld of Greek </w:t>
      </w:r>
      <w:r w:rsidR="004E5F27" w:rsidRPr="00621537">
        <w:rPr>
          <w:rFonts w:cs="Times New Roman"/>
          <w:i/>
          <w:iCs/>
          <w:sz w:val="24"/>
          <w:szCs w:val="24"/>
        </w:rPr>
        <w:t>M</w:t>
      </w:r>
      <w:r w:rsidRPr="00621537">
        <w:rPr>
          <w:rFonts w:cs="Times New Roman"/>
          <w:i/>
          <w:iCs/>
          <w:sz w:val="24"/>
          <w:szCs w:val="24"/>
        </w:rPr>
        <w:t>yth</w:t>
      </w:r>
      <w:r w:rsidRPr="00621537">
        <w:rPr>
          <w:rFonts w:cs="Times New Roman"/>
          <w:sz w:val="24"/>
          <w:szCs w:val="24"/>
        </w:rPr>
        <w:t xml:space="preserve"> (Oxford) </w:t>
      </w:r>
    </w:p>
    <w:p w14:paraId="4BE9D224" w14:textId="77777777" w:rsidR="000B40D3" w:rsidRPr="00621537" w:rsidRDefault="000B40D3" w:rsidP="000B40D3">
      <w:pPr>
        <w:pStyle w:val="Bibliography"/>
        <w:rPr>
          <w:rFonts w:cs="Times New Roman"/>
          <w:sz w:val="24"/>
          <w:szCs w:val="24"/>
        </w:rPr>
      </w:pPr>
      <w:r w:rsidRPr="00621537">
        <w:rPr>
          <w:rFonts w:cs="Times New Roman"/>
          <w:sz w:val="24"/>
          <w:szCs w:val="24"/>
        </w:rPr>
        <w:t xml:space="preserve">Henrichs, A. (1987) ‘Three approaches to Greek mythography’, in J. Bremmer (ed.), </w:t>
      </w:r>
      <w:r w:rsidRPr="00621537">
        <w:rPr>
          <w:rFonts w:cs="Times New Roman"/>
          <w:i/>
          <w:iCs/>
          <w:sz w:val="24"/>
          <w:szCs w:val="24"/>
        </w:rPr>
        <w:t xml:space="preserve">Interpretations of Greek </w:t>
      </w:r>
      <w:r w:rsidR="004E5F27" w:rsidRPr="00621537">
        <w:rPr>
          <w:rFonts w:cs="Times New Roman"/>
          <w:i/>
          <w:iCs/>
          <w:sz w:val="24"/>
          <w:szCs w:val="24"/>
        </w:rPr>
        <w:t>M</w:t>
      </w:r>
      <w:r w:rsidRPr="00621537">
        <w:rPr>
          <w:rFonts w:cs="Times New Roman"/>
          <w:i/>
          <w:iCs/>
          <w:sz w:val="24"/>
          <w:szCs w:val="24"/>
        </w:rPr>
        <w:t>ythology</w:t>
      </w:r>
      <w:r w:rsidRPr="00621537">
        <w:rPr>
          <w:rFonts w:cs="Times New Roman"/>
          <w:sz w:val="24"/>
          <w:szCs w:val="24"/>
        </w:rPr>
        <w:t xml:space="preserve"> (London) 242–77</w:t>
      </w:r>
    </w:p>
    <w:p w14:paraId="642F8DDC" w14:textId="77777777" w:rsidR="000B40D3" w:rsidRPr="00621537" w:rsidRDefault="000B40D3" w:rsidP="000B40D3">
      <w:pPr>
        <w:pStyle w:val="Bibliography"/>
        <w:rPr>
          <w:rFonts w:cs="Times New Roman"/>
          <w:sz w:val="24"/>
          <w:szCs w:val="24"/>
        </w:rPr>
      </w:pPr>
      <w:r w:rsidRPr="00621537">
        <w:rPr>
          <w:rFonts w:cs="Times New Roman"/>
          <w:sz w:val="24"/>
          <w:szCs w:val="24"/>
        </w:rPr>
        <w:t xml:space="preserve">Ingold, T. (2007) </w:t>
      </w:r>
      <w:r w:rsidRPr="00621537">
        <w:rPr>
          <w:rFonts w:cs="Times New Roman"/>
          <w:i/>
          <w:iCs/>
          <w:sz w:val="24"/>
          <w:szCs w:val="24"/>
        </w:rPr>
        <w:t>Lines: A Brief History</w:t>
      </w:r>
      <w:r w:rsidRPr="00621537">
        <w:rPr>
          <w:rFonts w:cs="Times New Roman"/>
          <w:sz w:val="24"/>
          <w:szCs w:val="24"/>
        </w:rPr>
        <w:t xml:space="preserve"> (London and New York) </w:t>
      </w:r>
    </w:p>
    <w:p w14:paraId="0F622883" w14:textId="77777777" w:rsidR="000B40D3" w:rsidRPr="00633945" w:rsidRDefault="00D3306C" w:rsidP="000B40D3">
      <w:pPr>
        <w:pStyle w:val="Bibliography"/>
        <w:rPr>
          <w:rFonts w:cs="Times New Roman"/>
          <w:sz w:val="24"/>
          <w:szCs w:val="24"/>
          <w:lang w:val="it-IT"/>
        </w:rPr>
      </w:pPr>
      <w:r w:rsidRPr="00633945">
        <w:rPr>
          <w:rFonts w:cs="Times New Roman"/>
          <w:sz w:val="24"/>
          <w:szCs w:val="24"/>
          <w:lang w:val="it-IT"/>
        </w:rPr>
        <w:t xml:space="preserve">Janni, P. (1984) </w:t>
      </w:r>
      <w:r w:rsidRPr="00633945">
        <w:rPr>
          <w:rFonts w:cs="Times New Roman"/>
          <w:i/>
          <w:iCs/>
          <w:sz w:val="24"/>
          <w:szCs w:val="24"/>
          <w:lang w:val="it-IT"/>
        </w:rPr>
        <w:t>La mappa e il periplo: cartografia antica e spazio odologico</w:t>
      </w:r>
      <w:r w:rsidRPr="00633945">
        <w:rPr>
          <w:rFonts w:cs="Times New Roman"/>
          <w:sz w:val="24"/>
          <w:szCs w:val="24"/>
          <w:lang w:val="it-IT"/>
        </w:rPr>
        <w:t xml:space="preserve"> (Rome) </w:t>
      </w:r>
    </w:p>
    <w:p w14:paraId="43B8D92B" w14:textId="77777777" w:rsidR="000B40D3" w:rsidRPr="00621537" w:rsidRDefault="000B40D3" w:rsidP="000B40D3">
      <w:pPr>
        <w:pStyle w:val="Bibliography"/>
        <w:rPr>
          <w:rFonts w:cs="Times New Roman"/>
          <w:sz w:val="24"/>
          <w:szCs w:val="24"/>
        </w:rPr>
      </w:pPr>
      <w:r w:rsidRPr="00621537">
        <w:rPr>
          <w:rFonts w:cs="Times New Roman"/>
          <w:sz w:val="24"/>
          <w:szCs w:val="24"/>
        </w:rPr>
        <w:t xml:space="preserve">Johnson, S.F. (2016) </w:t>
      </w:r>
      <w:r w:rsidRPr="00621537">
        <w:rPr>
          <w:rFonts w:cs="Times New Roman"/>
          <w:i/>
          <w:iCs/>
          <w:sz w:val="24"/>
          <w:szCs w:val="24"/>
        </w:rPr>
        <w:t>Literary Territories: Cartographical Thinking in Late Antiquity</w:t>
      </w:r>
      <w:r w:rsidRPr="00621537">
        <w:rPr>
          <w:rFonts w:cs="Times New Roman"/>
          <w:sz w:val="24"/>
          <w:szCs w:val="24"/>
        </w:rPr>
        <w:t xml:space="preserve"> (Oxford) </w:t>
      </w:r>
    </w:p>
    <w:p w14:paraId="25702D93" w14:textId="77777777" w:rsidR="000B40D3" w:rsidRPr="00621537" w:rsidRDefault="000B40D3" w:rsidP="000B40D3">
      <w:pPr>
        <w:pStyle w:val="Bibliography"/>
        <w:rPr>
          <w:rFonts w:cs="Times New Roman"/>
          <w:sz w:val="24"/>
          <w:szCs w:val="24"/>
        </w:rPr>
      </w:pPr>
      <w:r w:rsidRPr="00621537">
        <w:rPr>
          <w:rFonts w:cs="Times New Roman"/>
          <w:sz w:val="24"/>
          <w:szCs w:val="24"/>
        </w:rPr>
        <w:t xml:space="preserve">Johnston, S.I. (2018) </w:t>
      </w:r>
      <w:r w:rsidRPr="00621537">
        <w:rPr>
          <w:rFonts w:cs="Times New Roman"/>
          <w:i/>
          <w:iCs/>
          <w:sz w:val="24"/>
          <w:szCs w:val="24"/>
        </w:rPr>
        <w:t>The Story of Myth</w:t>
      </w:r>
      <w:r w:rsidRPr="00621537">
        <w:rPr>
          <w:rFonts w:cs="Times New Roman"/>
          <w:sz w:val="24"/>
          <w:szCs w:val="24"/>
        </w:rPr>
        <w:t xml:space="preserve"> (Cambridge, MA) </w:t>
      </w:r>
    </w:p>
    <w:p w14:paraId="5B9129E8" w14:textId="77777777" w:rsidR="000B40D3" w:rsidRPr="00621537" w:rsidRDefault="000B40D3" w:rsidP="000B40D3">
      <w:pPr>
        <w:pStyle w:val="Bibliography"/>
        <w:rPr>
          <w:rFonts w:cs="Times New Roman"/>
          <w:sz w:val="24"/>
          <w:szCs w:val="24"/>
        </w:rPr>
      </w:pPr>
      <w:r w:rsidRPr="00621537">
        <w:rPr>
          <w:rFonts w:cs="Times New Roman"/>
          <w:sz w:val="24"/>
          <w:szCs w:val="24"/>
        </w:rPr>
        <w:t xml:space="preserve">Kenens, U. (2012) ‘Greek mythography at work: the story of Perseus from Pherecydes to Tzetzes’, </w:t>
      </w:r>
      <w:r w:rsidRPr="00621537">
        <w:rPr>
          <w:rFonts w:cs="Times New Roman"/>
          <w:i/>
          <w:iCs/>
          <w:sz w:val="24"/>
          <w:szCs w:val="24"/>
        </w:rPr>
        <w:t>GRBS</w:t>
      </w:r>
      <w:r w:rsidRPr="00621537">
        <w:rPr>
          <w:rFonts w:cs="Times New Roman"/>
          <w:sz w:val="24"/>
          <w:szCs w:val="24"/>
        </w:rPr>
        <w:t xml:space="preserve"> 52, 147–66</w:t>
      </w:r>
    </w:p>
    <w:p w14:paraId="6B018A63" w14:textId="77777777" w:rsidR="000B40D3" w:rsidRPr="00621537" w:rsidRDefault="000B40D3" w:rsidP="000B40D3">
      <w:pPr>
        <w:pStyle w:val="Bibliography"/>
        <w:rPr>
          <w:rFonts w:cs="Times New Roman"/>
          <w:sz w:val="24"/>
          <w:szCs w:val="24"/>
        </w:rPr>
      </w:pPr>
      <w:r w:rsidRPr="00621537">
        <w:rPr>
          <w:rFonts w:cs="Times New Roman"/>
          <w:sz w:val="24"/>
          <w:szCs w:val="24"/>
        </w:rPr>
        <w:t xml:space="preserve">Lightfoot, J.L. (1999) </w:t>
      </w:r>
      <w:r w:rsidRPr="00621537">
        <w:rPr>
          <w:rFonts w:cs="Times New Roman"/>
          <w:i/>
          <w:iCs/>
          <w:sz w:val="24"/>
          <w:szCs w:val="24"/>
        </w:rPr>
        <w:t xml:space="preserve">Parthenius of Nicaea: the </w:t>
      </w:r>
      <w:r w:rsidR="004E5F27" w:rsidRPr="00621537">
        <w:rPr>
          <w:rFonts w:cs="Times New Roman"/>
          <w:i/>
          <w:iCs/>
          <w:sz w:val="24"/>
          <w:szCs w:val="24"/>
        </w:rPr>
        <w:t>P</w:t>
      </w:r>
      <w:r w:rsidRPr="00621537">
        <w:rPr>
          <w:rFonts w:cs="Times New Roman"/>
          <w:i/>
          <w:iCs/>
          <w:sz w:val="24"/>
          <w:szCs w:val="24"/>
        </w:rPr>
        <w:t xml:space="preserve">oetical </w:t>
      </w:r>
      <w:r w:rsidR="004E5F27" w:rsidRPr="00621537">
        <w:rPr>
          <w:rFonts w:cs="Times New Roman"/>
          <w:i/>
          <w:iCs/>
          <w:sz w:val="24"/>
          <w:szCs w:val="24"/>
        </w:rPr>
        <w:t>F</w:t>
      </w:r>
      <w:r w:rsidRPr="00621537">
        <w:rPr>
          <w:rFonts w:cs="Times New Roman"/>
          <w:i/>
          <w:iCs/>
          <w:sz w:val="24"/>
          <w:szCs w:val="24"/>
        </w:rPr>
        <w:t xml:space="preserve">ragments and the </w:t>
      </w:r>
      <w:r w:rsidRPr="00621537">
        <w:rPr>
          <w:rFonts w:cs="Times New Roman"/>
          <w:sz w:val="24"/>
          <w:szCs w:val="24"/>
        </w:rPr>
        <w:t xml:space="preserve">Erōtika Pathēmata (Oxford) </w:t>
      </w:r>
    </w:p>
    <w:p w14:paraId="3526E164" w14:textId="77777777" w:rsidR="000B40D3" w:rsidRPr="00621537" w:rsidRDefault="000B40D3" w:rsidP="000B40D3">
      <w:pPr>
        <w:pStyle w:val="Bibliography"/>
        <w:rPr>
          <w:rFonts w:cs="Times New Roman"/>
          <w:sz w:val="24"/>
          <w:szCs w:val="24"/>
        </w:rPr>
      </w:pPr>
      <w:r w:rsidRPr="00621537">
        <w:rPr>
          <w:rFonts w:cs="Times New Roman"/>
          <w:sz w:val="24"/>
          <w:szCs w:val="24"/>
        </w:rPr>
        <w:t xml:space="preserve">Lowe, N.J. (2000) </w:t>
      </w:r>
      <w:r w:rsidRPr="00621537">
        <w:rPr>
          <w:rFonts w:cs="Times New Roman"/>
          <w:i/>
          <w:iCs/>
          <w:sz w:val="24"/>
          <w:szCs w:val="24"/>
        </w:rPr>
        <w:t xml:space="preserve">The </w:t>
      </w:r>
      <w:r w:rsidR="004E5F27" w:rsidRPr="00621537">
        <w:rPr>
          <w:rFonts w:cs="Times New Roman"/>
          <w:i/>
          <w:iCs/>
          <w:sz w:val="24"/>
          <w:szCs w:val="24"/>
        </w:rPr>
        <w:t>C</w:t>
      </w:r>
      <w:r w:rsidRPr="00621537">
        <w:rPr>
          <w:rFonts w:cs="Times New Roman"/>
          <w:i/>
          <w:iCs/>
          <w:sz w:val="24"/>
          <w:szCs w:val="24"/>
        </w:rPr>
        <w:t xml:space="preserve">lassical </w:t>
      </w:r>
      <w:r w:rsidR="004E5F27" w:rsidRPr="00621537">
        <w:rPr>
          <w:rFonts w:cs="Times New Roman"/>
          <w:i/>
          <w:iCs/>
          <w:sz w:val="24"/>
          <w:szCs w:val="24"/>
        </w:rPr>
        <w:t>P</w:t>
      </w:r>
      <w:r w:rsidRPr="00621537">
        <w:rPr>
          <w:rFonts w:cs="Times New Roman"/>
          <w:i/>
          <w:iCs/>
          <w:sz w:val="24"/>
          <w:szCs w:val="24"/>
        </w:rPr>
        <w:t xml:space="preserve">lot and the </w:t>
      </w:r>
      <w:r w:rsidR="004E5F27" w:rsidRPr="00621537">
        <w:rPr>
          <w:rFonts w:cs="Times New Roman"/>
          <w:i/>
          <w:iCs/>
          <w:sz w:val="24"/>
          <w:szCs w:val="24"/>
        </w:rPr>
        <w:t>I</w:t>
      </w:r>
      <w:r w:rsidRPr="00621537">
        <w:rPr>
          <w:rFonts w:cs="Times New Roman"/>
          <w:i/>
          <w:iCs/>
          <w:sz w:val="24"/>
          <w:szCs w:val="24"/>
        </w:rPr>
        <w:t xml:space="preserve">nvention of Western </w:t>
      </w:r>
      <w:r w:rsidR="004E5F27" w:rsidRPr="00621537">
        <w:rPr>
          <w:rFonts w:cs="Times New Roman"/>
          <w:i/>
          <w:iCs/>
          <w:sz w:val="24"/>
          <w:szCs w:val="24"/>
        </w:rPr>
        <w:t>N</w:t>
      </w:r>
      <w:r w:rsidRPr="00621537">
        <w:rPr>
          <w:rFonts w:cs="Times New Roman"/>
          <w:i/>
          <w:iCs/>
          <w:sz w:val="24"/>
          <w:szCs w:val="24"/>
        </w:rPr>
        <w:t>arrative</w:t>
      </w:r>
      <w:r w:rsidRPr="00621537">
        <w:rPr>
          <w:rFonts w:cs="Times New Roman"/>
          <w:sz w:val="24"/>
          <w:szCs w:val="24"/>
        </w:rPr>
        <w:t xml:space="preserve"> (Cambridge and New York) </w:t>
      </w:r>
    </w:p>
    <w:p w14:paraId="2FA182AF" w14:textId="77777777" w:rsidR="000B40D3" w:rsidRPr="00621537" w:rsidRDefault="000B40D3" w:rsidP="000B40D3">
      <w:pPr>
        <w:pStyle w:val="Bibliography"/>
        <w:rPr>
          <w:rFonts w:cs="Times New Roman"/>
          <w:sz w:val="24"/>
          <w:szCs w:val="24"/>
        </w:rPr>
      </w:pPr>
      <w:r w:rsidRPr="00621537">
        <w:rPr>
          <w:rFonts w:cs="Times New Roman"/>
          <w:sz w:val="24"/>
          <w:szCs w:val="24"/>
        </w:rPr>
        <w:t xml:space="preserve">Marincola, J. (ed.) (2019) </w:t>
      </w:r>
      <w:r w:rsidRPr="00621537">
        <w:rPr>
          <w:rFonts w:cs="Times New Roman"/>
          <w:i/>
          <w:iCs/>
          <w:sz w:val="24"/>
          <w:szCs w:val="24"/>
        </w:rPr>
        <w:t xml:space="preserve">Host or </w:t>
      </w:r>
      <w:r w:rsidR="004E5F27" w:rsidRPr="00621537">
        <w:rPr>
          <w:rFonts w:cs="Times New Roman"/>
          <w:i/>
          <w:iCs/>
          <w:sz w:val="24"/>
          <w:szCs w:val="24"/>
        </w:rPr>
        <w:t>P</w:t>
      </w:r>
      <w:r w:rsidRPr="00621537">
        <w:rPr>
          <w:rFonts w:cs="Times New Roman"/>
          <w:i/>
          <w:iCs/>
          <w:sz w:val="24"/>
          <w:szCs w:val="24"/>
        </w:rPr>
        <w:t xml:space="preserve">arasite? Mythographers and their </w:t>
      </w:r>
      <w:r w:rsidR="004E5F27" w:rsidRPr="00621537">
        <w:rPr>
          <w:rFonts w:cs="Times New Roman"/>
          <w:i/>
          <w:iCs/>
          <w:sz w:val="24"/>
          <w:szCs w:val="24"/>
        </w:rPr>
        <w:t>C</w:t>
      </w:r>
      <w:r w:rsidRPr="00621537">
        <w:rPr>
          <w:rFonts w:cs="Times New Roman"/>
          <w:i/>
          <w:iCs/>
          <w:sz w:val="24"/>
          <w:szCs w:val="24"/>
        </w:rPr>
        <w:t xml:space="preserve">ontemporaries in the </w:t>
      </w:r>
      <w:r w:rsidR="004E5F27" w:rsidRPr="00621537">
        <w:rPr>
          <w:rFonts w:cs="Times New Roman"/>
          <w:i/>
          <w:iCs/>
          <w:sz w:val="24"/>
          <w:szCs w:val="24"/>
        </w:rPr>
        <w:t>C</w:t>
      </w:r>
      <w:r w:rsidRPr="00621537">
        <w:rPr>
          <w:rFonts w:cs="Times New Roman"/>
          <w:i/>
          <w:iCs/>
          <w:sz w:val="24"/>
          <w:szCs w:val="24"/>
        </w:rPr>
        <w:t xml:space="preserve">lassical and </w:t>
      </w:r>
      <w:r w:rsidR="004E5F27" w:rsidRPr="00621537">
        <w:rPr>
          <w:rFonts w:cs="Times New Roman"/>
          <w:i/>
          <w:iCs/>
          <w:sz w:val="24"/>
          <w:szCs w:val="24"/>
        </w:rPr>
        <w:t>H</w:t>
      </w:r>
      <w:r w:rsidRPr="00621537">
        <w:rPr>
          <w:rFonts w:cs="Times New Roman"/>
          <w:i/>
          <w:iCs/>
          <w:sz w:val="24"/>
          <w:szCs w:val="24"/>
        </w:rPr>
        <w:t xml:space="preserve">ellenistic </w:t>
      </w:r>
      <w:r w:rsidR="00817DBD" w:rsidRPr="00621537">
        <w:rPr>
          <w:rFonts w:cs="Times New Roman"/>
          <w:i/>
          <w:iCs/>
          <w:sz w:val="24"/>
          <w:szCs w:val="24"/>
        </w:rPr>
        <w:t>P</w:t>
      </w:r>
      <w:r w:rsidRPr="00621537">
        <w:rPr>
          <w:rFonts w:cs="Times New Roman"/>
          <w:i/>
          <w:iCs/>
          <w:sz w:val="24"/>
          <w:szCs w:val="24"/>
        </w:rPr>
        <w:t>eriods</w:t>
      </w:r>
      <w:r w:rsidRPr="00621537">
        <w:rPr>
          <w:rFonts w:cs="Times New Roman"/>
          <w:sz w:val="24"/>
          <w:szCs w:val="24"/>
        </w:rPr>
        <w:t xml:space="preserve"> (Berlin) </w:t>
      </w:r>
    </w:p>
    <w:p w14:paraId="621F46BE" w14:textId="77777777" w:rsidR="000B40D3" w:rsidRPr="00621537" w:rsidRDefault="000B40D3" w:rsidP="000B40D3">
      <w:pPr>
        <w:pStyle w:val="Bibliography"/>
        <w:rPr>
          <w:rFonts w:cs="Times New Roman"/>
          <w:sz w:val="24"/>
          <w:szCs w:val="24"/>
        </w:rPr>
      </w:pPr>
      <w:r w:rsidRPr="00621537">
        <w:rPr>
          <w:rFonts w:cs="Times New Roman"/>
          <w:sz w:val="24"/>
          <w:szCs w:val="24"/>
        </w:rPr>
        <w:t xml:space="preserve">Miller, J.H. (1995) </w:t>
      </w:r>
      <w:r w:rsidRPr="00621537">
        <w:rPr>
          <w:rFonts w:cs="Times New Roman"/>
          <w:i/>
          <w:iCs/>
          <w:sz w:val="24"/>
          <w:szCs w:val="24"/>
        </w:rPr>
        <w:t>Topographies</w:t>
      </w:r>
      <w:r w:rsidRPr="00621537">
        <w:rPr>
          <w:rFonts w:cs="Times New Roman"/>
          <w:sz w:val="24"/>
          <w:szCs w:val="24"/>
        </w:rPr>
        <w:t xml:space="preserve"> (Stanford) </w:t>
      </w:r>
    </w:p>
    <w:p w14:paraId="64E9D8B0" w14:textId="77777777" w:rsidR="000B40D3" w:rsidRPr="00621537" w:rsidRDefault="000B40D3" w:rsidP="000B40D3">
      <w:pPr>
        <w:pStyle w:val="Bibliography"/>
        <w:rPr>
          <w:rFonts w:cs="Times New Roman"/>
          <w:sz w:val="24"/>
          <w:szCs w:val="24"/>
        </w:rPr>
      </w:pPr>
      <w:r w:rsidRPr="00621537">
        <w:rPr>
          <w:rFonts w:cs="Times New Roman"/>
          <w:sz w:val="24"/>
          <w:szCs w:val="24"/>
        </w:rPr>
        <w:t xml:space="preserve">Pàmias, J. (ed.) (2011) </w:t>
      </w:r>
      <w:r w:rsidRPr="00621537">
        <w:rPr>
          <w:rFonts w:cs="Times New Roman"/>
          <w:i/>
          <w:iCs/>
          <w:sz w:val="24"/>
          <w:szCs w:val="24"/>
        </w:rPr>
        <w:t>Parva mythographica</w:t>
      </w:r>
      <w:r w:rsidRPr="00621537">
        <w:rPr>
          <w:rFonts w:cs="Times New Roman"/>
          <w:sz w:val="24"/>
          <w:szCs w:val="24"/>
        </w:rPr>
        <w:t xml:space="preserve"> (Oberhaid) </w:t>
      </w:r>
    </w:p>
    <w:p w14:paraId="7A2AC6D4" w14:textId="77777777" w:rsidR="000B40D3" w:rsidRPr="00621537" w:rsidRDefault="000B40D3" w:rsidP="000B40D3">
      <w:pPr>
        <w:pStyle w:val="Bibliography"/>
        <w:rPr>
          <w:rFonts w:cs="Times New Roman"/>
          <w:sz w:val="24"/>
          <w:szCs w:val="24"/>
        </w:rPr>
      </w:pPr>
      <w:r w:rsidRPr="00621537">
        <w:rPr>
          <w:rFonts w:cs="Times New Roman"/>
          <w:sz w:val="24"/>
          <w:szCs w:val="24"/>
        </w:rPr>
        <w:t xml:space="preserve">Pàmias, J. (2015) ‘Acusilaus of Argos and the bronze tablets’, </w:t>
      </w:r>
      <w:r w:rsidRPr="00621537">
        <w:rPr>
          <w:rFonts w:cs="Times New Roman"/>
          <w:i/>
          <w:iCs/>
          <w:sz w:val="24"/>
          <w:szCs w:val="24"/>
        </w:rPr>
        <w:t>Harv. Stud. Class. Philol.</w:t>
      </w:r>
      <w:r w:rsidRPr="00621537">
        <w:rPr>
          <w:rFonts w:cs="Times New Roman"/>
          <w:sz w:val="24"/>
          <w:szCs w:val="24"/>
        </w:rPr>
        <w:t xml:space="preserve"> 108, 53–75</w:t>
      </w:r>
    </w:p>
    <w:p w14:paraId="561AACA0" w14:textId="77777777" w:rsidR="000B40D3" w:rsidRPr="00621537" w:rsidRDefault="000B40D3" w:rsidP="000B40D3">
      <w:pPr>
        <w:pStyle w:val="Bibliography"/>
        <w:rPr>
          <w:rFonts w:cs="Times New Roman"/>
          <w:sz w:val="24"/>
          <w:szCs w:val="24"/>
        </w:rPr>
      </w:pPr>
      <w:r w:rsidRPr="00621537">
        <w:rPr>
          <w:rFonts w:cs="Times New Roman"/>
          <w:sz w:val="24"/>
          <w:szCs w:val="24"/>
        </w:rPr>
        <w:t xml:space="preserve">Pàmias, J. (ed.) (2017) </w:t>
      </w:r>
      <w:r w:rsidRPr="00621537">
        <w:rPr>
          <w:rFonts w:cs="Times New Roman"/>
          <w:i/>
          <w:iCs/>
          <w:sz w:val="24"/>
          <w:szCs w:val="24"/>
        </w:rPr>
        <w:t xml:space="preserve">Apollodoriana: </w:t>
      </w:r>
      <w:r w:rsidR="00897535" w:rsidRPr="00621537">
        <w:rPr>
          <w:rFonts w:cs="Times New Roman"/>
          <w:i/>
          <w:iCs/>
          <w:sz w:val="24"/>
          <w:szCs w:val="24"/>
        </w:rPr>
        <w:t>A</w:t>
      </w:r>
      <w:r w:rsidRPr="00621537">
        <w:rPr>
          <w:rFonts w:cs="Times New Roman"/>
          <w:i/>
          <w:iCs/>
          <w:sz w:val="24"/>
          <w:szCs w:val="24"/>
        </w:rPr>
        <w:t xml:space="preserve">ncient </w:t>
      </w:r>
      <w:r w:rsidR="00897535" w:rsidRPr="00621537">
        <w:rPr>
          <w:rFonts w:cs="Times New Roman"/>
          <w:i/>
          <w:iCs/>
          <w:sz w:val="24"/>
          <w:szCs w:val="24"/>
        </w:rPr>
        <w:t>M</w:t>
      </w:r>
      <w:r w:rsidRPr="00621537">
        <w:rPr>
          <w:rFonts w:cs="Times New Roman"/>
          <w:i/>
          <w:iCs/>
          <w:sz w:val="24"/>
          <w:szCs w:val="24"/>
        </w:rPr>
        <w:t xml:space="preserve">yths, </w:t>
      </w:r>
      <w:r w:rsidR="00897535" w:rsidRPr="00621537">
        <w:rPr>
          <w:rFonts w:cs="Times New Roman"/>
          <w:i/>
          <w:iCs/>
          <w:sz w:val="24"/>
          <w:szCs w:val="24"/>
        </w:rPr>
        <w:t>N</w:t>
      </w:r>
      <w:r w:rsidRPr="00621537">
        <w:rPr>
          <w:rFonts w:cs="Times New Roman"/>
          <w:i/>
          <w:iCs/>
          <w:sz w:val="24"/>
          <w:szCs w:val="24"/>
        </w:rPr>
        <w:t xml:space="preserve">ew </w:t>
      </w:r>
      <w:r w:rsidR="00897535" w:rsidRPr="00621537">
        <w:rPr>
          <w:rFonts w:cs="Times New Roman"/>
          <w:i/>
          <w:iCs/>
          <w:sz w:val="24"/>
          <w:szCs w:val="24"/>
        </w:rPr>
        <w:t>C</w:t>
      </w:r>
      <w:r w:rsidRPr="00621537">
        <w:rPr>
          <w:rFonts w:cs="Times New Roman"/>
          <w:i/>
          <w:iCs/>
          <w:sz w:val="24"/>
          <w:szCs w:val="24"/>
        </w:rPr>
        <w:t>rossroads</w:t>
      </w:r>
      <w:r w:rsidRPr="00621537">
        <w:rPr>
          <w:rFonts w:cs="Times New Roman"/>
          <w:sz w:val="24"/>
          <w:szCs w:val="24"/>
        </w:rPr>
        <w:t xml:space="preserve"> (Berlin and Boston) </w:t>
      </w:r>
    </w:p>
    <w:p w14:paraId="585D4878" w14:textId="77777777" w:rsidR="000B40D3" w:rsidRPr="00621537" w:rsidRDefault="000B40D3" w:rsidP="000B40D3">
      <w:pPr>
        <w:pStyle w:val="Bibliography"/>
        <w:rPr>
          <w:rFonts w:cs="Times New Roman"/>
          <w:sz w:val="24"/>
          <w:szCs w:val="24"/>
        </w:rPr>
      </w:pPr>
      <w:r w:rsidRPr="00621537">
        <w:rPr>
          <w:rFonts w:cs="Times New Roman"/>
          <w:sz w:val="24"/>
          <w:szCs w:val="24"/>
        </w:rPr>
        <w:t xml:space="preserve">Papageorgiadou-Banis, C. (1997) </w:t>
      </w:r>
      <w:r w:rsidRPr="00621537">
        <w:rPr>
          <w:rFonts w:cs="Times New Roman"/>
          <w:i/>
          <w:iCs/>
          <w:sz w:val="24"/>
          <w:szCs w:val="24"/>
        </w:rPr>
        <w:t>Coinage of Kea</w:t>
      </w:r>
      <w:r w:rsidRPr="00621537">
        <w:rPr>
          <w:rFonts w:cs="Times New Roman"/>
          <w:sz w:val="24"/>
          <w:szCs w:val="24"/>
        </w:rPr>
        <w:t xml:space="preserve"> (Athens) </w:t>
      </w:r>
    </w:p>
    <w:p w14:paraId="0DB21557" w14:textId="77777777" w:rsidR="000B40D3" w:rsidRPr="00633945" w:rsidRDefault="00D3306C" w:rsidP="000B40D3">
      <w:pPr>
        <w:pStyle w:val="Bibliography"/>
        <w:rPr>
          <w:rFonts w:cs="Times New Roman"/>
          <w:sz w:val="24"/>
          <w:szCs w:val="24"/>
          <w:lang w:val="fr-FR"/>
        </w:rPr>
      </w:pPr>
      <w:r w:rsidRPr="00633945">
        <w:rPr>
          <w:rFonts w:cs="Times New Roman"/>
          <w:sz w:val="24"/>
          <w:szCs w:val="24"/>
          <w:lang w:val="fr-FR"/>
        </w:rPr>
        <w:t xml:space="preserve">Papathomopoulos, M. (ed.) (1968) </w:t>
      </w:r>
      <w:r w:rsidRPr="00633945">
        <w:rPr>
          <w:rFonts w:cs="Times New Roman"/>
          <w:i/>
          <w:iCs/>
          <w:sz w:val="24"/>
          <w:szCs w:val="24"/>
          <w:lang w:val="fr-FR"/>
        </w:rPr>
        <w:t>Antoninus Liberalis: Métamorphoses</w:t>
      </w:r>
      <w:r w:rsidRPr="00633945">
        <w:rPr>
          <w:rFonts w:cs="Times New Roman"/>
          <w:sz w:val="24"/>
          <w:szCs w:val="24"/>
          <w:lang w:val="fr-FR"/>
        </w:rPr>
        <w:t xml:space="preserve"> (Paris) </w:t>
      </w:r>
    </w:p>
    <w:p w14:paraId="03E953BF" w14:textId="77777777" w:rsidR="000B40D3" w:rsidRPr="00621537" w:rsidRDefault="000B40D3" w:rsidP="000B40D3">
      <w:pPr>
        <w:pStyle w:val="Bibliography"/>
        <w:rPr>
          <w:rFonts w:cs="Times New Roman"/>
          <w:sz w:val="24"/>
          <w:szCs w:val="24"/>
        </w:rPr>
      </w:pPr>
      <w:r w:rsidRPr="00621537">
        <w:rPr>
          <w:rFonts w:cs="Times New Roman"/>
          <w:sz w:val="24"/>
          <w:szCs w:val="24"/>
        </w:rPr>
        <w:t xml:space="preserve">Patterson, L.E. (2013) ‘Geographers as </w:t>
      </w:r>
      <w:r w:rsidR="00897535" w:rsidRPr="00621537">
        <w:rPr>
          <w:rFonts w:cs="Times New Roman"/>
          <w:sz w:val="24"/>
          <w:szCs w:val="24"/>
        </w:rPr>
        <w:t>m</w:t>
      </w:r>
      <w:r w:rsidRPr="00621537">
        <w:rPr>
          <w:rFonts w:cs="Times New Roman"/>
          <w:sz w:val="24"/>
          <w:szCs w:val="24"/>
        </w:rPr>
        <w:t xml:space="preserve">ythographers: </w:t>
      </w:r>
      <w:r w:rsidR="00897535" w:rsidRPr="00621537">
        <w:rPr>
          <w:rFonts w:cs="Times New Roman"/>
          <w:sz w:val="24"/>
          <w:szCs w:val="24"/>
        </w:rPr>
        <w:t>t</w:t>
      </w:r>
      <w:r w:rsidRPr="00621537">
        <w:rPr>
          <w:rFonts w:cs="Times New Roman"/>
          <w:sz w:val="24"/>
          <w:szCs w:val="24"/>
        </w:rPr>
        <w:t xml:space="preserve">he </w:t>
      </w:r>
      <w:r w:rsidR="00897535" w:rsidRPr="00621537">
        <w:rPr>
          <w:rFonts w:cs="Times New Roman"/>
          <w:sz w:val="24"/>
          <w:szCs w:val="24"/>
        </w:rPr>
        <w:t>c</w:t>
      </w:r>
      <w:r w:rsidRPr="00621537">
        <w:rPr>
          <w:rFonts w:cs="Times New Roman"/>
          <w:sz w:val="24"/>
          <w:szCs w:val="24"/>
        </w:rPr>
        <w:t xml:space="preserve">ase of Strabo’, in S.M. Trzaskoma and R.S. Smith (eds), </w:t>
      </w:r>
      <w:r w:rsidRPr="00621537">
        <w:rPr>
          <w:rFonts w:cs="Times New Roman"/>
          <w:i/>
          <w:iCs/>
          <w:sz w:val="24"/>
          <w:szCs w:val="24"/>
        </w:rPr>
        <w:t>Writing Myth: Mythography in the Greek and Roman Worlds</w:t>
      </w:r>
      <w:r w:rsidRPr="00621537">
        <w:rPr>
          <w:rFonts w:cs="Times New Roman"/>
          <w:sz w:val="24"/>
          <w:szCs w:val="24"/>
        </w:rPr>
        <w:t xml:space="preserve"> (Leuven) 201–21</w:t>
      </w:r>
    </w:p>
    <w:p w14:paraId="293E6F26" w14:textId="0B7D382E" w:rsidR="000B40D3" w:rsidRPr="00621537" w:rsidRDefault="000B40D3" w:rsidP="000B40D3">
      <w:pPr>
        <w:pStyle w:val="Bibliography"/>
        <w:rPr>
          <w:rFonts w:cs="Times New Roman"/>
          <w:sz w:val="24"/>
          <w:szCs w:val="24"/>
        </w:rPr>
      </w:pPr>
      <w:r w:rsidRPr="00621537">
        <w:rPr>
          <w:rFonts w:cs="Times New Roman"/>
          <w:sz w:val="24"/>
          <w:szCs w:val="24"/>
        </w:rPr>
        <w:t xml:space="preserve">Petrovic, A., Petrovic, I. and Thomas, E. </w:t>
      </w:r>
      <w:r w:rsidR="00552F93" w:rsidRPr="00621537">
        <w:rPr>
          <w:rFonts w:cs="Times New Roman"/>
          <w:sz w:val="24"/>
          <w:szCs w:val="24"/>
        </w:rPr>
        <w:t xml:space="preserve">(eds) </w:t>
      </w:r>
      <w:r w:rsidRPr="00621537">
        <w:rPr>
          <w:rFonts w:cs="Times New Roman"/>
          <w:sz w:val="24"/>
          <w:szCs w:val="24"/>
        </w:rPr>
        <w:t xml:space="preserve">(2019) </w:t>
      </w:r>
      <w:r w:rsidRPr="00621537">
        <w:rPr>
          <w:rFonts w:cs="Times New Roman"/>
          <w:i/>
          <w:iCs/>
          <w:sz w:val="24"/>
          <w:szCs w:val="24"/>
        </w:rPr>
        <w:t xml:space="preserve">The </w:t>
      </w:r>
      <w:r w:rsidR="00DB5CDC" w:rsidRPr="00621537">
        <w:rPr>
          <w:rFonts w:cs="Times New Roman"/>
          <w:i/>
          <w:iCs/>
          <w:sz w:val="24"/>
          <w:szCs w:val="24"/>
        </w:rPr>
        <w:t>M</w:t>
      </w:r>
      <w:r w:rsidRPr="00621537">
        <w:rPr>
          <w:rFonts w:cs="Times New Roman"/>
          <w:i/>
          <w:iCs/>
          <w:sz w:val="24"/>
          <w:szCs w:val="24"/>
        </w:rPr>
        <w:t xml:space="preserve">ateriality of </w:t>
      </w:r>
      <w:r w:rsidR="00DB5CDC" w:rsidRPr="00621537">
        <w:rPr>
          <w:rFonts w:cs="Times New Roman"/>
          <w:i/>
          <w:iCs/>
          <w:sz w:val="24"/>
          <w:szCs w:val="24"/>
        </w:rPr>
        <w:t>T</w:t>
      </w:r>
      <w:r w:rsidRPr="00621537">
        <w:rPr>
          <w:rFonts w:cs="Times New Roman"/>
          <w:i/>
          <w:iCs/>
          <w:sz w:val="24"/>
          <w:szCs w:val="24"/>
        </w:rPr>
        <w:t>ext:</w:t>
      </w:r>
      <w:r w:rsidR="00DB5CDC" w:rsidRPr="00621537">
        <w:rPr>
          <w:rFonts w:cs="Times New Roman"/>
          <w:i/>
          <w:iCs/>
          <w:sz w:val="24"/>
          <w:szCs w:val="24"/>
        </w:rPr>
        <w:t xml:space="preserve"> P</w:t>
      </w:r>
      <w:r w:rsidRPr="00621537">
        <w:rPr>
          <w:rFonts w:cs="Times New Roman"/>
          <w:i/>
          <w:iCs/>
          <w:sz w:val="24"/>
          <w:szCs w:val="24"/>
        </w:rPr>
        <w:t xml:space="preserve">lacement, </w:t>
      </w:r>
      <w:r w:rsidR="00DB5CDC" w:rsidRPr="00621537">
        <w:rPr>
          <w:rFonts w:cs="Times New Roman"/>
          <w:i/>
          <w:iCs/>
          <w:sz w:val="24"/>
          <w:szCs w:val="24"/>
        </w:rPr>
        <w:t>P</w:t>
      </w:r>
      <w:r w:rsidRPr="00621537">
        <w:rPr>
          <w:rFonts w:cs="Times New Roman"/>
          <w:i/>
          <w:iCs/>
          <w:sz w:val="24"/>
          <w:szCs w:val="24"/>
        </w:rPr>
        <w:t xml:space="preserve">erception, and </w:t>
      </w:r>
      <w:r w:rsidR="00DB5CDC" w:rsidRPr="00621537">
        <w:rPr>
          <w:rFonts w:cs="Times New Roman"/>
          <w:i/>
          <w:iCs/>
          <w:sz w:val="24"/>
          <w:szCs w:val="24"/>
        </w:rPr>
        <w:t>P</w:t>
      </w:r>
      <w:r w:rsidRPr="00621537">
        <w:rPr>
          <w:rFonts w:cs="Times New Roman"/>
          <w:i/>
          <w:iCs/>
          <w:sz w:val="24"/>
          <w:szCs w:val="24"/>
        </w:rPr>
        <w:t xml:space="preserve">resence of </w:t>
      </w:r>
      <w:r w:rsidR="00DB5CDC" w:rsidRPr="00621537">
        <w:rPr>
          <w:rFonts w:cs="Times New Roman"/>
          <w:i/>
          <w:iCs/>
          <w:sz w:val="24"/>
          <w:szCs w:val="24"/>
        </w:rPr>
        <w:t>I</w:t>
      </w:r>
      <w:r w:rsidRPr="00621537">
        <w:rPr>
          <w:rFonts w:cs="Times New Roman"/>
          <w:i/>
          <w:iCs/>
          <w:sz w:val="24"/>
          <w:szCs w:val="24"/>
        </w:rPr>
        <w:t xml:space="preserve">nscribed </w:t>
      </w:r>
      <w:r w:rsidR="00DB5CDC" w:rsidRPr="00621537">
        <w:rPr>
          <w:rFonts w:cs="Times New Roman"/>
          <w:i/>
          <w:iCs/>
          <w:sz w:val="24"/>
          <w:szCs w:val="24"/>
        </w:rPr>
        <w:t>T</w:t>
      </w:r>
      <w:r w:rsidRPr="00621537">
        <w:rPr>
          <w:rFonts w:cs="Times New Roman"/>
          <w:i/>
          <w:iCs/>
          <w:sz w:val="24"/>
          <w:szCs w:val="24"/>
        </w:rPr>
        <w:t xml:space="preserve">exts in </w:t>
      </w:r>
      <w:r w:rsidR="00DB5CDC" w:rsidRPr="00621537">
        <w:rPr>
          <w:rFonts w:cs="Times New Roman"/>
          <w:i/>
          <w:iCs/>
          <w:sz w:val="24"/>
          <w:szCs w:val="24"/>
        </w:rPr>
        <w:t>C</w:t>
      </w:r>
      <w:r w:rsidRPr="00621537">
        <w:rPr>
          <w:rFonts w:cs="Times New Roman"/>
          <w:i/>
          <w:iCs/>
          <w:sz w:val="24"/>
          <w:szCs w:val="24"/>
        </w:rPr>
        <w:t xml:space="preserve">lassical </w:t>
      </w:r>
      <w:r w:rsidR="00DB5CDC" w:rsidRPr="00621537">
        <w:rPr>
          <w:rFonts w:cs="Times New Roman"/>
          <w:i/>
          <w:iCs/>
          <w:sz w:val="24"/>
          <w:szCs w:val="24"/>
        </w:rPr>
        <w:t>A</w:t>
      </w:r>
      <w:r w:rsidRPr="00621537">
        <w:rPr>
          <w:rFonts w:cs="Times New Roman"/>
          <w:i/>
          <w:iCs/>
          <w:sz w:val="24"/>
          <w:szCs w:val="24"/>
        </w:rPr>
        <w:t>ntiquity</w:t>
      </w:r>
      <w:r w:rsidR="00552F93" w:rsidRPr="00621537">
        <w:rPr>
          <w:rFonts w:cs="Times New Roman"/>
          <w:i/>
          <w:iCs/>
          <w:sz w:val="24"/>
          <w:szCs w:val="24"/>
        </w:rPr>
        <w:t xml:space="preserve"> </w:t>
      </w:r>
      <w:r w:rsidR="00552F93" w:rsidRPr="00621537">
        <w:rPr>
          <w:rFonts w:cs="Times New Roman"/>
          <w:sz w:val="24"/>
          <w:szCs w:val="24"/>
        </w:rPr>
        <w:t>(</w:t>
      </w:r>
      <w:r w:rsidRPr="00621537">
        <w:rPr>
          <w:rFonts w:cs="Times New Roman"/>
          <w:sz w:val="24"/>
          <w:szCs w:val="24"/>
        </w:rPr>
        <w:t xml:space="preserve">Leiden </w:t>
      </w:r>
      <w:r w:rsidR="00A43B69">
        <w:rPr>
          <w:rFonts w:cs="Times New Roman"/>
          <w:sz w:val="24"/>
          <w:szCs w:val="24"/>
        </w:rPr>
        <w:t>and</w:t>
      </w:r>
      <w:r w:rsidR="00A43B69" w:rsidRPr="00621537">
        <w:rPr>
          <w:rFonts w:cs="Times New Roman"/>
          <w:sz w:val="24"/>
          <w:szCs w:val="24"/>
        </w:rPr>
        <w:t xml:space="preserve"> </w:t>
      </w:r>
      <w:r w:rsidRPr="00621537">
        <w:rPr>
          <w:rFonts w:cs="Times New Roman"/>
          <w:sz w:val="24"/>
          <w:szCs w:val="24"/>
        </w:rPr>
        <w:t xml:space="preserve">Boston) </w:t>
      </w:r>
    </w:p>
    <w:p w14:paraId="5B3AD773" w14:textId="77777777" w:rsidR="000B40D3" w:rsidRPr="00621537" w:rsidRDefault="000B40D3" w:rsidP="000B40D3">
      <w:pPr>
        <w:pStyle w:val="Bibliography"/>
        <w:rPr>
          <w:rFonts w:cs="Times New Roman"/>
          <w:sz w:val="24"/>
          <w:szCs w:val="24"/>
        </w:rPr>
      </w:pPr>
      <w:r w:rsidRPr="00621537">
        <w:rPr>
          <w:rFonts w:cs="Times New Roman"/>
          <w:sz w:val="24"/>
          <w:szCs w:val="24"/>
        </w:rPr>
        <w:t xml:space="preserve">Purves, A. (2010) </w:t>
      </w:r>
      <w:r w:rsidRPr="00621537">
        <w:rPr>
          <w:rFonts w:cs="Times New Roman"/>
          <w:i/>
          <w:iCs/>
          <w:sz w:val="24"/>
          <w:szCs w:val="24"/>
        </w:rPr>
        <w:t xml:space="preserve">Space and </w:t>
      </w:r>
      <w:r w:rsidR="008540FC" w:rsidRPr="00621537">
        <w:rPr>
          <w:rFonts w:cs="Times New Roman"/>
          <w:i/>
          <w:iCs/>
          <w:sz w:val="24"/>
          <w:szCs w:val="24"/>
        </w:rPr>
        <w:t>T</w:t>
      </w:r>
      <w:r w:rsidRPr="00621537">
        <w:rPr>
          <w:rFonts w:cs="Times New Roman"/>
          <w:i/>
          <w:iCs/>
          <w:sz w:val="24"/>
          <w:szCs w:val="24"/>
        </w:rPr>
        <w:t xml:space="preserve">ime in </w:t>
      </w:r>
      <w:r w:rsidR="008540FC" w:rsidRPr="00621537">
        <w:rPr>
          <w:rFonts w:cs="Times New Roman"/>
          <w:i/>
          <w:iCs/>
          <w:sz w:val="24"/>
          <w:szCs w:val="24"/>
        </w:rPr>
        <w:t>A</w:t>
      </w:r>
      <w:r w:rsidRPr="00621537">
        <w:rPr>
          <w:rFonts w:cs="Times New Roman"/>
          <w:i/>
          <w:iCs/>
          <w:sz w:val="24"/>
          <w:szCs w:val="24"/>
        </w:rPr>
        <w:t xml:space="preserve">ncient Greek </w:t>
      </w:r>
      <w:r w:rsidR="008540FC" w:rsidRPr="00621537">
        <w:rPr>
          <w:rFonts w:cs="Times New Roman"/>
          <w:i/>
          <w:iCs/>
          <w:sz w:val="24"/>
          <w:szCs w:val="24"/>
        </w:rPr>
        <w:t>N</w:t>
      </w:r>
      <w:r w:rsidRPr="00621537">
        <w:rPr>
          <w:rFonts w:cs="Times New Roman"/>
          <w:i/>
          <w:iCs/>
          <w:sz w:val="24"/>
          <w:szCs w:val="24"/>
        </w:rPr>
        <w:t>arrative</w:t>
      </w:r>
      <w:r w:rsidRPr="00621537">
        <w:rPr>
          <w:rFonts w:cs="Times New Roman"/>
          <w:sz w:val="24"/>
          <w:szCs w:val="24"/>
        </w:rPr>
        <w:t xml:space="preserve"> (Cambridge) </w:t>
      </w:r>
    </w:p>
    <w:p w14:paraId="7B683E06" w14:textId="77777777" w:rsidR="000B40D3" w:rsidRPr="00621537" w:rsidRDefault="000B40D3" w:rsidP="000B40D3">
      <w:pPr>
        <w:pStyle w:val="Bibliography"/>
        <w:rPr>
          <w:rFonts w:cs="Times New Roman"/>
          <w:sz w:val="24"/>
          <w:szCs w:val="24"/>
        </w:rPr>
      </w:pPr>
      <w:r w:rsidRPr="00621537">
        <w:rPr>
          <w:rFonts w:cs="Times New Roman"/>
          <w:sz w:val="24"/>
          <w:szCs w:val="24"/>
        </w:rPr>
        <w:t xml:space="preserve">Riggsby, A.M. (2007) ‘Guides to the wor(l)d’, in J. König and T. Whitmarsh (eds), </w:t>
      </w:r>
      <w:r w:rsidRPr="00621537">
        <w:rPr>
          <w:rFonts w:cs="Times New Roman"/>
          <w:i/>
          <w:iCs/>
          <w:sz w:val="24"/>
          <w:szCs w:val="24"/>
        </w:rPr>
        <w:t xml:space="preserve">Ordering </w:t>
      </w:r>
      <w:r w:rsidR="00B14131" w:rsidRPr="00621537">
        <w:rPr>
          <w:rFonts w:cs="Times New Roman"/>
          <w:i/>
          <w:iCs/>
          <w:sz w:val="24"/>
          <w:szCs w:val="24"/>
        </w:rPr>
        <w:t>K</w:t>
      </w:r>
      <w:r w:rsidRPr="00621537">
        <w:rPr>
          <w:rFonts w:cs="Times New Roman"/>
          <w:i/>
          <w:iCs/>
          <w:sz w:val="24"/>
          <w:szCs w:val="24"/>
        </w:rPr>
        <w:t>nowledge in the Roman Empire</w:t>
      </w:r>
      <w:r w:rsidRPr="00621537">
        <w:rPr>
          <w:rFonts w:cs="Times New Roman"/>
          <w:sz w:val="24"/>
          <w:szCs w:val="24"/>
        </w:rPr>
        <w:t xml:space="preserve"> (Cambridge and New York) 88–107</w:t>
      </w:r>
    </w:p>
    <w:p w14:paraId="692077EB" w14:textId="77777777" w:rsidR="000B40D3" w:rsidRPr="00621537" w:rsidRDefault="000B40D3" w:rsidP="000B40D3">
      <w:pPr>
        <w:pStyle w:val="Bibliography"/>
        <w:rPr>
          <w:rFonts w:cs="Times New Roman"/>
          <w:sz w:val="24"/>
          <w:szCs w:val="24"/>
        </w:rPr>
      </w:pPr>
      <w:r w:rsidRPr="00621537">
        <w:rPr>
          <w:rFonts w:cs="Times New Roman"/>
          <w:sz w:val="24"/>
          <w:szCs w:val="24"/>
        </w:rPr>
        <w:t xml:space="preserve">Ryan, M.-L. (2003) ‘Cognitive maps and the construction of narrative space’, in D. Herman (ed.), </w:t>
      </w:r>
      <w:r w:rsidRPr="00621537">
        <w:rPr>
          <w:rFonts w:cs="Times New Roman"/>
          <w:i/>
          <w:iCs/>
          <w:sz w:val="24"/>
          <w:szCs w:val="24"/>
        </w:rPr>
        <w:t xml:space="preserve">Narrative </w:t>
      </w:r>
      <w:r w:rsidR="00A47911" w:rsidRPr="00621537">
        <w:rPr>
          <w:rFonts w:cs="Times New Roman"/>
          <w:i/>
          <w:iCs/>
          <w:sz w:val="24"/>
          <w:szCs w:val="24"/>
        </w:rPr>
        <w:t>T</w:t>
      </w:r>
      <w:r w:rsidRPr="00621537">
        <w:rPr>
          <w:rFonts w:cs="Times New Roman"/>
          <w:i/>
          <w:iCs/>
          <w:sz w:val="24"/>
          <w:szCs w:val="24"/>
        </w:rPr>
        <w:t xml:space="preserve">heory and the </w:t>
      </w:r>
      <w:r w:rsidR="00A47911" w:rsidRPr="00621537">
        <w:rPr>
          <w:rFonts w:cs="Times New Roman"/>
          <w:i/>
          <w:iCs/>
          <w:sz w:val="24"/>
          <w:szCs w:val="24"/>
        </w:rPr>
        <w:t>C</w:t>
      </w:r>
      <w:r w:rsidRPr="00621537">
        <w:rPr>
          <w:rFonts w:cs="Times New Roman"/>
          <w:i/>
          <w:iCs/>
          <w:sz w:val="24"/>
          <w:szCs w:val="24"/>
        </w:rPr>
        <w:t xml:space="preserve">ognitive </w:t>
      </w:r>
      <w:r w:rsidR="00A47911" w:rsidRPr="00621537">
        <w:rPr>
          <w:rFonts w:cs="Times New Roman"/>
          <w:i/>
          <w:iCs/>
          <w:sz w:val="24"/>
          <w:szCs w:val="24"/>
        </w:rPr>
        <w:t>S</w:t>
      </w:r>
      <w:r w:rsidRPr="00621537">
        <w:rPr>
          <w:rFonts w:cs="Times New Roman"/>
          <w:i/>
          <w:iCs/>
          <w:sz w:val="24"/>
          <w:szCs w:val="24"/>
        </w:rPr>
        <w:t>ciences</w:t>
      </w:r>
      <w:r w:rsidRPr="00621537">
        <w:rPr>
          <w:rFonts w:cs="Times New Roman"/>
          <w:sz w:val="24"/>
          <w:szCs w:val="24"/>
        </w:rPr>
        <w:t xml:space="preserve"> (Stanford) 214–42</w:t>
      </w:r>
    </w:p>
    <w:p w14:paraId="1DA5696F" w14:textId="77777777" w:rsidR="000B40D3" w:rsidRPr="00621537" w:rsidRDefault="000B40D3" w:rsidP="000B40D3">
      <w:pPr>
        <w:pStyle w:val="Bibliography"/>
        <w:rPr>
          <w:rFonts w:cs="Times New Roman"/>
          <w:sz w:val="24"/>
          <w:szCs w:val="24"/>
          <w:lang w:val="fr-FR"/>
        </w:rPr>
      </w:pPr>
      <w:r w:rsidRPr="00621537">
        <w:rPr>
          <w:rFonts w:cs="Times New Roman"/>
          <w:sz w:val="24"/>
          <w:szCs w:val="24"/>
          <w:lang w:val="fr-FR"/>
        </w:rPr>
        <w:t xml:space="preserve">Scheid, J. and Svenbro, J. (2003) </w:t>
      </w:r>
      <w:r w:rsidRPr="00621537">
        <w:rPr>
          <w:rFonts w:cs="Times New Roman"/>
          <w:i/>
          <w:iCs/>
          <w:sz w:val="24"/>
          <w:szCs w:val="24"/>
          <w:lang w:val="fr-FR"/>
        </w:rPr>
        <w:t>Le métier de Zeus: mythe du tissage et du tissu dans le monde gréco-romain</w:t>
      </w:r>
      <w:r w:rsidRPr="00621537">
        <w:rPr>
          <w:rFonts w:cs="Times New Roman"/>
          <w:sz w:val="24"/>
          <w:szCs w:val="24"/>
          <w:lang w:val="fr-FR"/>
        </w:rPr>
        <w:t xml:space="preserve"> (Paris) </w:t>
      </w:r>
    </w:p>
    <w:p w14:paraId="6DCA92D9" w14:textId="77777777" w:rsidR="000B40D3" w:rsidRPr="00621537" w:rsidRDefault="000B40D3" w:rsidP="000B40D3">
      <w:pPr>
        <w:pStyle w:val="Bibliography"/>
        <w:rPr>
          <w:rFonts w:cs="Times New Roman"/>
          <w:sz w:val="24"/>
          <w:szCs w:val="24"/>
        </w:rPr>
      </w:pPr>
      <w:r w:rsidRPr="00621537">
        <w:rPr>
          <w:rFonts w:cs="Times New Roman"/>
          <w:sz w:val="24"/>
          <w:szCs w:val="24"/>
        </w:rPr>
        <w:t xml:space="preserve">Scott, M. (2013) </w:t>
      </w:r>
      <w:r w:rsidRPr="00621537">
        <w:rPr>
          <w:rFonts w:cs="Times New Roman"/>
          <w:i/>
          <w:iCs/>
          <w:sz w:val="24"/>
          <w:szCs w:val="24"/>
        </w:rPr>
        <w:t xml:space="preserve">Space and </w:t>
      </w:r>
      <w:r w:rsidR="00A800E3" w:rsidRPr="00621537">
        <w:rPr>
          <w:rFonts w:cs="Times New Roman"/>
          <w:i/>
          <w:iCs/>
          <w:sz w:val="24"/>
          <w:szCs w:val="24"/>
        </w:rPr>
        <w:t>S</w:t>
      </w:r>
      <w:r w:rsidRPr="00621537">
        <w:rPr>
          <w:rFonts w:cs="Times New Roman"/>
          <w:i/>
          <w:iCs/>
          <w:sz w:val="24"/>
          <w:szCs w:val="24"/>
        </w:rPr>
        <w:t xml:space="preserve">ociety in the Greek and Roman </w:t>
      </w:r>
      <w:r w:rsidR="00A800E3" w:rsidRPr="00621537">
        <w:rPr>
          <w:rFonts w:cs="Times New Roman"/>
          <w:i/>
          <w:iCs/>
          <w:sz w:val="24"/>
          <w:szCs w:val="24"/>
        </w:rPr>
        <w:t>W</w:t>
      </w:r>
      <w:r w:rsidRPr="00621537">
        <w:rPr>
          <w:rFonts w:cs="Times New Roman"/>
          <w:i/>
          <w:iCs/>
          <w:sz w:val="24"/>
          <w:szCs w:val="24"/>
        </w:rPr>
        <w:t>orlds</w:t>
      </w:r>
      <w:r w:rsidRPr="00621537">
        <w:rPr>
          <w:rFonts w:cs="Times New Roman"/>
          <w:sz w:val="24"/>
          <w:szCs w:val="24"/>
        </w:rPr>
        <w:t xml:space="preserve"> (Cambridge) </w:t>
      </w:r>
    </w:p>
    <w:p w14:paraId="0F7092A2" w14:textId="77777777" w:rsidR="000B40D3" w:rsidRPr="00621537" w:rsidRDefault="000B40D3" w:rsidP="000B40D3">
      <w:pPr>
        <w:pStyle w:val="Bibliography"/>
        <w:rPr>
          <w:rFonts w:cs="Times New Roman"/>
          <w:sz w:val="24"/>
          <w:szCs w:val="24"/>
        </w:rPr>
      </w:pPr>
      <w:r w:rsidRPr="00621537">
        <w:rPr>
          <w:rFonts w:cs="Times New Roman"/>
          <w:sz w:val="24"/>
          <w:szCs w:val="24"/>
        </w:rPr>
        <w:t xml:space="preserve">Smith, R.S. (2016) ‘Between narrative and allusion: mythography in Pomponius Mela’s </w:t>
      </w:r>
      <w:r w:rsidRPr="00621537">
        <w:rPr>
          <w:rFonts w:cs="Times New Roman"/>
          <w:i/>
          <w:iCs/>
          <w:sz w:val="24"/>
          <w:szCs w:val="24"/>
        </w:rPr>
        <w:t>Chorography</w:t>
      </w:r>
      <w:r w:rsidRPr="00621537">
        <w:rPr>
          <w:rFonts w:cs="Times New Roman"/>
          <w:sz w:val="24"/>
          <w:szCs w:val="24"/>
        </w:rPr>
        <w:t xml:space="preserve">’, </w:t>
      </w:r>
      <w:r w:rsidRPr="00621537">
        <w:rPr>
          <w:rFonts w:cs="Times New Roman"/>
          <w:i/>
          <w:iCs/>
          <w:sz w:val="24"/>
          <w:szCs w:val="24"/>
        </w:rPr>
        <w:t>Polymnia</w:t>
      </w:r>
      <w:r w:rsidRPr="00621537">
        <w:rPr>
          <w:rFonts w:cs="Times New Roman"/>
          <w:sz w:val="24"/>
          <w:szCs w:val="24"/>
        </w:rPr>
        <w:t xml:space="preserve"> 2, 87–119</w:t>
      </w:r>
    </w:p>
    <w:p w14:paraId="6CB617CE" w14:textId="77777777" w:rsidR="000B40D3" w:rsidRPr="00621537" w:rsidRDefault="000B40D3" w:rsidP="000B40D3">
      <w:pPr>
        <w:pStyle w:val="Bibliography"/>
        <w:rPr>
          <w:rFonts w:cs="Times New Roman"/>
          <w:sz w:val="24"/>
          <w:szCs w:val="24"/>
        </w:rPr>
      </w:pPr>
      <w:r w:rsidRPr="00621537">
        <w:rPr>
          <w:rFonts w:cs="Times New Roman"/>
          <w:sz w:val="24"/>
          <w:szCs w:val="24"/>
        </w:rPr>
        <w:t xml:space="preserve">----- (2017) ‘Myth and </w:t>
      </w:r>
      <w:r w:rsidR="00A800E3" w:rsidRPr="00621537">
        <w:rPr>
          <w:rFonts w:cs="Times New Roman"/>
          <w:sz w:val="24"/>
          <w:szCs w:val="24"/>
        </w:rPr>
        <w:t>m</w:t>
      </w:r>
      <w:r w:rsidRPr="00621537">
        <w:rPr>
          <w:rFonts w:cs="Times New Roman"/>
          <w:sz w:val="24"/>
          <w:szCs w:val="24"/>
        </w:rPr>
        <w:t xml:space="preserve">ythography in Pliny’s Geography, </w:t>
      </w:r>
      <w:r w:rsidRPr="00621537">
        <w:rPr>
          <w:rFonts w:cs="Times New Roman"/>
          <w:i/>
          <w:iCs/>
          <w:sz w:val="24"/>
          <w:szCs w:val="24"/>
        </w:rPr>
        <w:t>Naturalis Historia</w:t>
      </w:r>
      <w:r w:rsidRPr="00621537">
        <w:rPr>
          <w:rFonts w:cs="Times New Roman"/>
          <w:sz w:val="24"/>
          <w:szCs w:val="24"/>
        </w:rPr>
        <w:t xml:space="preserve"> 3–6,’ </w:t>
      </w:r>
      <w:r w:rsidRPr="00621537">
        <w:rPr>
          <w:rFonts w:cs="Times New Roman"/>
          <w:i/>
          <w:iCs/>
          <w:sz w:val="24"/>
          <w:szCs w:val="24"/>
        </w:rPr>
        <w:t>Polymnia</w:t>
      </w:r>
      <w:r w:rsidRPr="00621537">
        <w:rPr>
          <w:rFonts w:cs="Times New Roman"/>
          <w:sz w:val="24"/>
          <w:szCs w:val="24"/>
        </w:rPr>
        <w:t xml:space="preserve"> 3, 83–116</w:t>
      </w:r>
    </w:p>
    <w:p w14:paraId="20BC3A91" w14:textId="77777777" w:rsidR="000B40D3" w:rsidRPr="00621537" w:rsidRDefault="000B40D3" w:rsidP="000B40D3">
      <w:pPr>
        <w:pStyle w:val="Bibliography"/>
        <w:rPr>
          <w:rFonts w:cs="Times New Roman"/>
          <w:sz w:val="24"/>
          <w:szCs w:val="24"/>
        </w:rPr>
      </w:pPr>
      <w:r w:rsidRPr="00621537">
        <w:rPr>
          <w:rFonts w:cs="Times New Roman"/>
          <w:sz w:val="24"/>
          <w:szCs w:val="24"/>
        </w:rPr>
        <w:t xml:space="preserve">Smith, R.S. and Trzaskoma, S.M. (eds) (2020) </w:t>
      </w:r>
      <w:r w:rsidRPr="00621537">
        <w:rPr>
          <w:rFonts w:cs="Times New Roman"/>
          <w:i/>
          <w:iCs/>
          <w:sz w:val="24"/>
          <w:szCs w:val="24"/>
        </w:rPr>
        <w:t>Oxford Handbook to Greek and Roman Mythography</w:t>
      </w:r>
      <w:r w:rsidRPr="00621537">
        <w:rPr>
          <w:rFonts w:cs="Times New Roman"/>
          <w:sz w:val="24"/>
          <w:szCs w:val="24"/>
        </w:rPr>
        <w:t xml:space="preserve"> (Oxford) </w:t>
      </w:r>
    </w:p>
    <w:p w14:paraId="701F828C" w14:textId="77777777" w:rsidR="000B40D3" w:rsidRPr="00621537" w:rsidRDefault="000B40D3" w:rsidP="000B40D3">
      <w:pPr>
        <w:pStyle w:val="Bibliography"/>
        <w:rPr>
          <w:rFonts w:cs="Times New Roman"/>
          <w:sz w:val="24"/>
          <w:szCs w:val="24"/>
        </w:rPr>
      </w:pPr>
      <w:r w:rsidRPr="00621537">
        <w:rPr>
          <w:rFonts w:cs="Times New Roman"/>
          <w:sz w:val="24"/>
          <w:szCs w:val="24"/>
        </w:rPr>
        <w:t xml:space="preserve">Solnit, R. (2000) </w:t>
      </w:r>
      <w:r w:rsidRPr="00621537">
        <w:rPr>
          <w:rFonts w:cs="Times New Roman"/>
          <w:i/>
          <w:iCs/>
          <w:sz w:val="24"/>
          <w:szCs w:val="24"/>
        </w:rPr>
        <w:t xml:space="preserve">Wanderlust: </w:t>
      </w:r>
      <w:r w:rsidR="00A800E3" w:rsidRPr="00621537">
        <w:rPr>
          <w:rFonts w:cs="Times New Roman"/>
          <w:i/>
          <w:iCs/>
          <w:sz w:val="24"/>
          <w:szCs w:val="24"/>
        </w:rPr>
        <w:t>A</w:t>
      </w:r>
      <w:r w:rsidRPr="00621537">
        <w:rPr>
          <w:rFonts w:cs="Times New Roman"/>
          <w:i/>
          <w:iCs/>
          <w:sz w:val="24"/>
          <w:szCs w:val="24"/>
        </w:rPr>
        <w:t xml:space="preserve"> </w:t>
      </w:r>
      <w:r w:rsidR="00A800E3" w:rsidRPr="00621537">
        <w:rPr>
          <w:rFonts w:cs="Times New Roman"/>
          <w:i/>
          <w:iCs/>
          <w:sz w:val="24"/>
          <w:szCs w:val="24"/>
        </w:rPr>
        <w:t>H</w:t>
      </w:r>
      <w:r w:rsidRPr="00621537">
        <w:rPr>
          <w:rFonts w:cs="Times New Roman"/>
          <w:i/>
          <w:iCs/>
          <w:sz w:val="24"/>
          <w:szCs w:val="24"/>
        </w:rPr>
        <w:t>istory of</w:t>
      </w:r>
      <w:r w:rsidR="00A800E3" w:rsidRPr="00621537">
        <w:rPr>
          <w:rFonts w:cs="Times New Roman"/>
          <w:i/>
          <w:iCs/>
          <w:sz w:val="24"/>
          <w:szCs w:val="24"/>
        </w:rPr>
        <w:t xml:space="preserve"> W</w:t>
      </w:r>
      <w:r w:rsidRPr="00621537">
        <w:rPr>
          <w:rFonts w:cs="Times New Roman"/>
          <w:i/>
          <w:iCs/>
          <w:sz w:val="24"/>
          <w:szCs w:val="24"/>
        </w:rPr>
        <w:t>alking</w:t>
      </w:r>
      <w:r w:rsidRPr="00621537">
        <w:rPr>
          <w:rFonts w:cs="Times New Roman"/>
          <w:sz w:val="24"/>
          <w:szCs w:val="24"/>
        </w:rPr>
        <w:t xml:space="preserve"> (New York) </w:t>
      </w:r>
    </w:p>
    <w:p w14:paraId="03E025B5" w14:textId="77777777" w:rsidR="000B40D3" w:rsidRPr="00621537" w:rsidRDefault="000B40D3" w:rsidP="000B40D3">
      <w:pPr>
        <w:pStyle w:val="Bibliography"/>
        <w:rPr>
          <w:rFonts w:cs="Times New Roman"/>
          <w:sz w:val="24"/>
          <w:szCs w:val="24"/>
        </w:rPr>
      </w:pPr>
      <w:r w:rsidRPr="00621537">
        <w:rPr>
          <w:rFonts w:cs="Times New Roman"/>
          <w:sz w:val="24"/>
          <w:szCs w:val="24"/>
        </w:rPr>
        <w:t xml:space="preserve">Trzaskoma, S.M. (2013) ‘Introduction’, in S.M. Trzaskoma and R.S. Smith (eds), </w:t>
      </w:r>
      <w:r w:rsidRPr="00621537">
        <w:rPr>
          <w:rFonts w:cs="Times New Roman"/>
          <w:i/>
          <w:iCs/>
          <w:sz w:val="24"/>
          <w:szCs w:val="24"/>
        </w:rPr>
        <w:t xml:space="preserve">Writing </w:t>
      </w:r>
      <w:r w:rsidR="004055C2" w:rsidRPr="00621537">
        <w:rPr>
          <w:rFonts w:cs="Times New Roman"/>
          <w:i/>
          <w:iCs/>
          <w:sz w:val="24"/>
          <w:szCs w:val="24"/>
        </w:rPr>
        <w:t>M</w:t>
      </w:r>
      <w:r w:rsidRPr="00621537">
        <w:rPr>
          <w:rFonts w:cs="Times New Roman"/>
          <w:i/>
          <w:iCs/>
          <w:sz w:val="24"/>
          <w:szCs w:val="24"/>
        </w:rPr>
        <w:t xml:space="preserve">yth: </w:t>
      </w:r>
      <w:r w:rsidR="004055C2" w:rsidRPr="00621537">
        <w:rPr>
          <w:rFonts w:cs="Times New Roman"/>
          <w:i/>
          <w:iCs/>
          <w:sz w:val="24"/>
          <w:szCs w:val="24"/>
        </w:rPr>
        <w:t>M</w:t>
      </w:r>
      <w:r w:rsidRPr="00621537">
        <w:rPr>
          <w:rFonts w:cs="Times New Roman"/>
          <w:i/>
          <w:iCs/>
          <w:sz w:val="24"/>
          <w:szCs w:val="24"/>
        </w:rPr>
        <w:t xml:space="preserve">ythography in the </w:t>
      </w:r>
      <w:r w:rsidR="004055C2" w:rsidRPr="00621537">
        <w:rPr>
          <w:rFonts w:cs="Times New Roman"/>
          <w:i/>
          <w:iCs/>
          <w:sz w:val="24"/>
          <w:szCs w:val="24"/>
        </w:rPr>
        <w:t>A</w:t>
      </w:r>
      <w:r w:rsidRPr="00621537">
        <w:rPr>
          <w:rFonts w:cs="Times New Roman"/>
          <w:i/>
          <w:iCs/>
          <w:sz w:val="24"/>
          <w:szCs w:val="24"/>
        </w:rPr>
        <w:t xml:space="preserve">ncient </w:t>
      </w:r>
      <w:r w:rsidR="004055C2" w:rsidRPr="00621537">
        <w:rPr>
          <w:rFonts w:cs="Times New Roman"/>
          <w:i/>
          <w:iCs/>
          <w:sz w:val="24"/>
          <w:szCs w:val="24"/>
        </w:rPr>
        <w:t>W</w:t>
      </w:r>
      <w:r w:rsidRPr="00621537">
        <w:rPr>
          <w:rFonts w:cs="Times New Roman"/>
          <w:i/>
          <w:iCs/>
          <w:sz w:val="24"/>
          <w:szCs w:val="24"/>
        </w:rPr>
        <w:t>orld</w:t>
      </w:r>
      <w:r w:rsidRPr="00621537">
        <w:rPr>
          <w:rFonts w:cs="Times New Roman"/>
          <w:sz w:val="24"/>
          <w:szCs w:val="24"/>
        </w:rPr>
        <w:t xml:space="preserve"> (Leuven) xv–xxiv</w:t>
      </w:r>
    </w:p>
    <w:p w14:paraId="49133325" w14:textId="77777777" w:rsidR="000B40D3" w:rsidRPr="00621537" w:rsidRDefault="000B40D3" w:rsidP="000B40D3">
      <w:pPr>
        <w:pStyle w:val="Bibliography"/>
        <w:rPr>
          <w:rFonts w:cs="Times New Roman"/>
          <w:sz w:val="24"/>
          <w:szCs w:val="24"/>
        </w:rPr>
      </w:pPr>
      <w:r w:rsidRPr="00621537">
        <w:rPr>
          <w:rFonts w:cs="Times New Roman"/>
          <w:sz w:val="24"/>
          <w:szCs w:val="24"/>
        </w:rPr>
        <w:t xml:space="preserve">Trzaskoma, S.M. and Smith, R.S. (eds) (2013) </w:t>
      </w:r>
      <w:r w:rsidRPr="00621537">
        <w:rPr>
          <w:rFonts w:cs="Times New Roman"/>
          <w:i/>
          <w:iCs/>
          <w:sz w:val="24"/>
          <w:szCs w:val="24"/>
        </w:rPr>
        <w:t xml:space="preserve">Writing Myth: Mythography in the </w:t>
      </w:r>
      <w:r w:rsidR="00817DBD" w:rsidRPr="00621537">
        <w:rPr>
          <w:rFonts w:cs="Times New Roman"/>
          <w:i/>
          <w:iCs/>
          <w:sz w:val="24"/>
          <w:szCs w:val="24"/>
        </w:rPr>
        <w:t xml:space="preserve">Ancient World </w:t>
      </w:r>
      <w:r w:rsidRPr="00621537">
        <w:rPr>
          <w:rFonts w:cs="Times New Roman"/>
          <w:sz w:val="24"/>
          <w:szCs w:val="24"/>
        </w:rPr>
        <w:t xml:space="preserve">(Leuven) </w:t>
      </w:r>
    </w:p>
    <w:p w14:paraId="009DFA99" w14:textId="77777777" w:rsidR="000B40D3" w:rsidRPr="00621537" w:rsidRDefault="000B40D3" w:rsidP="000B40D3">
      <w:pPr>
        <w:pStyle w:val="Bibliography"/>
        <w:rPr>
          <w:rFonts w:cs="Times New Roman"/>
          <w:sz w:val="24"/>
          <w:szCs w:val="24"/>
          <w:lang w:val="fr-FR"/>
        </w:rPr>
      </w:pPr>
      <w:r w:rsidRPr="00621537">
        <w:rPr>
          <w:rFonts w:cs="Times New Roman"/>
          <w:sz w:val="24"/>
          <w:szCs w:val="24"/>
          <w:lang w:val="fr-FR"/>
        </w:rPr>
        <w:t xml:space="preserve">Wendel, C. (1935) ‘Mythographie’, </w:t>
      </w:r>
      <w:r w:rsidRPr="00621537">
        <w:rPr>
          <w:rFonts w:cs="Times New Roman"/>
          <w:i/>
          <w:iCs/>
          <w:sz w:val="24"/>
          <w:szCs w:val="24"/>
          <w:lang w:val="fr-FR"/>
        </w:rPr>
        <w:t>RE</w:t>
      </w:r>
      <w:r w:rsidRPr="00621537">
        <w:rPr>
          <w:rFonts w:cs="Times New Roman"/>
          <w:sz w:val="24"/>
          <w:szCs w:val="24"/>
          <w:lang w:val="fr-FR"/>
        </w:rPr>
        <w:t xml:space="preserve"> XVI.2, 1352–74</w:t>
      </w:r>
    </w:p>
    <w:p w14:paraId="47A35F20" w14:textId="77777777" w:rsidR="000B40D3" w:rsidRPr="00621537" w:rsidRDefault="000B40D3" w:rsidP="000B40D3">
      <w:pPr>
        <w:spacing w:line="480" w:lineRule="auto"/>
        <w:ind w:left="284" w:hanging="284"/>
        <w:rPr>
          <w:rFonts w:cs="Times New Roman"/>
          <w:b/>
          <w:sz w:val="24"/>
          <w:szCs w:val="24"/>
          <w:u w:val="single"/>
          <w:lang w:val="fr-FR"/>
        </w:rPr>
      </w:pPr>
    </w:p>
    <w:p w14:paraId="61853A85" w14:textId="77777777" w:rsidR="000B40D3" w:rsidRPr="00621537" w:rsidRDefault="000B40D3" w:rsidP="000B40D3">
      <w:pPr>
        <w:rPr>
          <w:rFonts w:cs="Times New Roman"/>
          <w:lang w:val="fr-FR"/>
        </w:rPr>
      </w:pPr>
    </w:p>
    <w:p w14:paraId="4F22FB33" w14:textId="77777777" w:rsidR="00744B08" w:rsidRPr="00621537" w:rsidRDefault="00744B08">
      <w:pPr>
        <w:rPr>
          <w:rFonts w:cs="Times New Roman"/>
          <w:lang w:val="fr-FR"/>
        </w:rPr>
      </w:pPr>
    </w:p>
    <w:sectPr w:rsidR="00744B08" w:rsidRPr="00621537" w:rsidSect="00744B08">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91B700" w14:textId="77777777" w:rsidR="00F51820" w:rsidRDefault="00F51820" w:rsidP="000B40D3">
      <w:pPr>
        <w:spacing w:after="0" w:line="240" w:lineRule="auto"/>
      </w:pPr>
      <w:r>
        <w:separator/>
      </w:r>
    </w:p>
  </w:endnote>
  <w:endnote w:type="continuationSeparator" w:id="0">
    <w:p w14:paraId="5E462319" w14:textId="77777777" w:rsidR="00F51820" w:rsidRDefault="00F51820" w:rsidP="000B40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0036693"/>
      <w:docPartObj>
        <w:docPartGallery w:val="Page Numbers (Bottom of Page)"/>
        <w:docPartUnique/>
      </w:docPartObj>
    </w:sdtPr>
    <w:sdtEndPr>
      <w:rPr>
        <w:noProof/>
      </w:rPr>
    </w:sdtEndPr>
    <w:sdtContent>
      <w:p w14:paraId="633B7053" w14:textId="77777777" w:rsidR="00744B08" w:rsidRDefault="00F7094D">
        <w:pPr>
          <w:pStyle w:val="Footer"/>
        </w:pPr>
        <w:r>
          <w:fldChar w:fldCharType="begin"/>
        </w:r>
        <w:r>
          <w:instrText xml:space="preserve"> PAGE   \* MERGEFORMAT </w:instrText>
        </w:r>
        <w:r>
          <w:fldChar w:fldCharType="separate"/>
        </w:r>
        <w:r w:rsidR="00C323C4">
          <w:rPr>
            <w:noProof/>
          </w:rPr>
          <w:t>1</w:t>
        </w:r>
        <w:r>
          <w:rPr>
            <w:noProof/>
          </w:rPr>
          <w:fldChar w:fldCharType="end"/>
        </w:r>
      </w:p>
    </w:sdtContent>
  </w:sdt>
  <w:p w14:paraId="7A5115DD" w14:textId="77777777" w:rsidR="00744B08" w:rsidRDefault="00744B08" w:rsidP="00744B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2D29E8" w14:textId="77777777" w:rsidR="00F51820" w:rsidRDefault="00F51820" w:rsidP="000B40D3">
      <w:pPr>
        <w:spacing w:after="0" w:line="240" w:lineRule="auto"/>
      </w:pPr>
      <w:r>
        <w:separator/>
      </w:r>
    </w:p>
  </w:footnote>
  <w:footnote w:type="continuationSeparator" w:id="0">
    <w:p w14:paraId="26196A21" w14:textId="77777777" w:rsidR="00F51820" w:rsidRDefault="00F51820" w:rsidP="000B40D3">
      <w:pPr>
        <w:spacing w:after="0" w:line="240" w:lineRule="auto"/>
      </w:pPr>
      <w:r>
        <w:continuationSeparator/>
      </w:r>
    </w:p>
  </w:footnote>
  <w:footnote w:id="1">
    <w:p w14:paraId="1E0B621D" w14:textId="2D1B3069" w:rsidR="00744B08" w:rsidRPr="00633945" w:rsidRDefault="00744B08">
      <w:pPr>
        <w:pStyle w:val="FootnoteText"/>
        <w:rPr>
          <w:lang w:val="en-GB"/>
        </w:rPr>
      </w:pPr>
      <w:r>
        <w:rPr>
          <w:rStyle w:val="FootnoteReference"/>
        </w:rPr>
        <w:t>*</w:t>
      </w:r>
      <w:r>
        <w:t xml:space="preserve"> </w:t>
      </w:r>
      <w:r w:rsidR="00223CEE">
        <w:rPr>
          <w:lang w:val="en-GB"/>
        </w:rPr>
        <w:t>charles.</w:t>
      </w:r>
      <w:r>
        <w:rPr>
          <w:lang w:val="en-GB"/>
        </w:rPr>
        <w:t>delattre@univ-lille.fr</w:t>
      </w:r>
      <w:r w:rsidR="00C323C4">
        <w:rPr>
          <w:lang w:val="en-GB"/>
        </w:rPr>
        <w:t>;</w:t>
      </w:r>
      <w:r>
        <w:rPr>
          <w:lang w:val="en-GB"/>
        </w:rPr>
        <w:t xml:space="preserve"> greta.hawes@anu.edu.au</w:t>
      </w:r>
      <w:r w:rsidR="00223CEE">
        <w:rPr>
          <w:lang w:val="en-GB"/>
        </w:rPr>
        <w:t>.</w:t>
      </w:r>
      <w:r w:rsidRPr="00621537">
        <w:rPr>
          <w:lang w:val="en-GB"/>
        </w:rPr>
        <w:t xml:space="preserve"> </w:t>
      </w:r>
      <w:r w:rsidRPr="00621537">
        <w:t xml:space="preserve">This article is part of the Australian Research Council-funded project ‘The spatial dynamics of myth in Pausanias’ </w:t>
      </w:r>
      <w:r w:rsidRPr="00017361">
        <w:rPr>
          <w:i/>
          <w:iCs/>
        </w:rPr>
        <w:t>Periegesis</w:t>
      </w:r>
      <w:r w:rsidRPr="00327959">
        <w:t xml:space="preserve">’ (DE170101251) and </w:t>
      </w:r>
      <w:r w:rsidR="00C323C4">
        <w:t xml:space="preserve">of the research theme </w:t>
      </w:r>
      <w:r w:rsidRPr="00327959">
        <w:t>‘Sources, traditions et réceptions de l’Antiquité’</w:t>
      </w:r>
      <w:r w:rsidRPr="004F5DA1">
        <w:t xml:space="preserve"> (</w:t>
      </w:r>
      <w:r w:rsidR="00C323C4" w:rsidRPr="00637272">
        <w:t>Univ. Lille, CNRS, Mi</w:t>
      </w:r>
      <w:r w:rsidR="00223CEE">
        <w:t>nistère de la Culture, UMR 8164-HALMA-</w:t>
      </w:r>
      <w:r w:rsidR="00C323C4" w:rsidRPr="00637272">
        <w:t>Histoire Archéologie</w:t>
      </w:r>
      <w:r w:rsidR="00C323C4">
        <w:t xml:space="preserve"> </w:t>
      </w:r>
      <w:r w:rsidR="00C323C4" w:rsidRPr="00637272">
        <w:t>Littérature des Mondes Anciens, F-59000 Lille, France</w:t>
      </w:r>
      <w:r w:rsidRPr="004F5DA1">
        <w:t>). We thank Julia Kindt and Anna Lefteratou for</w:t>
      </w:r>
      <w:r>
        <w:t xml:space="preserve"> their comments on </w:t>
      </w:r>
      <w:r w:rsidRPr="004F5DA1">
        <w:t>earlier drafts.</w:t>
      </w:r>
    </w:p>
  </w:footnote>
  <w:footnote w:id="2">
    <w:p w14:paraId="35BFC6C1" w14:textId="77777777" w:rsidR="00744B08" w:rsidRPr="00621537" w:rsidRDefault="00744B08" w:rsidP="000B40D3">
      <w:pPr>
        <w:pStyle w:val="FootnoteText"/>
        <w:spacing w:line="276" w:lineRule="auto"/>
        <w:jc w:val="both"/>
        <w:rPr>
          <w:rFonts w:cs="Times New Roman"/>
        </w:rPr>
      </w:pPr>
      <w:r w:rsidRPr="00621537">
        <w:rPr>
          <w:rStyle w:val="FootnoteReference"/>
          <w:rFonts w:cs="Times New Roman"/>
        </w:rPr>
        <w:footnoteRef/>
      </w:r>
      <w:r w:rsidRPr="00621537">
        <w:rPr>
          <w:rFonts w:cs="Times New Roman"/>
        </w:rPr>
        <w:t xml:space="preserve"> Solnit (2000) 72.</w:t>
      </w:r>
    </w:p>
  </w:footnote>
  <w:footnote w:id="3">
    <w:p w14:paraId="1938BA40" w14:textId="381EA3ED" w:rsidR="00744B08" w:rsidRPr="00621537" w:rsidRDefault="00744B08" w:rsidP="000B40D3">
      <w:pPr>
        <w:pStyle w:val="FootnoteText"/>
        <w:spacing w:line="276" w:lineRule="auto"/>
        <w:jc w:val="both"/>
        <w:rPr>
          <w:rFonts w:cs="Times New Roman"/>
        </w:rPr>
      </w:pPr>
      <w:r w:rsidRPr="00621537">
        <w:rPr>
          <w:rStyle w:val="FootnoteReference"/>
          <w:rFonts w:cs="Times New Roman"/>
        </w:rPr>
        <w:footnoteRef/>
      </w:r>
      <w:r w:rsidRPr="00621537">
        <w:rPr>
          <w:rFonts w:cs="Times New Roman"/>
        </w:rPr>
        <w:t xml:space="preserve"> For the use of ‘</w:t>
      </w:r>
      <w:r w:rsidRPr="00621537">
        <w:rPr>
          <w:rFonts w:cs="Times New Roman"/>
          <w:i/>
        </w:rPr>
        <w:t>m</w:t>
      </w:r>
      <w:r>
        <w:rPr>
          <w:rFonts w:cs="Times New Roman"/>
          <w:i/>
        </w:rPr>
        <w:t>u</w:t>
      </w:r>
      <w:r w:rsidRPr="00621537">
        <w:rPr>
          <w:rFonts w:cs="Times New Roman"/>
          <w:i/>
        </w:rPr>
        <w:t>thographos</w:t>
      </w:r>
      <w:r w:rsidRPr="00621537">
        <w:rPr>
          <w:rFonts w:cs="Times New Roman"/>
        </w:rPr>
        <w:t xml:space="preserve">’ in Greek sources, see most recently Alganza Roldán (2015). ‘Mythography’ and (especially) ‘mythographer’ are frequently used to refer broadly to the textual tradition through which Greek myth was transmitted; in this article we use ‘mythography’ more precisely to refer to texts from – or analogous to – the corpus defined by A. Westermann in 1843 (on this see e.g. Delattre (2013) 93). Just as Westermann notably characterized his mythographers as </w:t>
      </w:r>
      <w:r w:rsidRPr="00621537">
        <w:rPr>
          <w:rFonts w:cs="Times New Roman"/>
          <w:i/>
        </w:rPr>
        <w:t>scriptores poeticae historiae</w:t>
      </w:r>
      <w:r w:rsidRPr="00621537">
        <w:rPr>
          <w:rFonts w:cs="Times New Roman"/>
        </w:rPr>
        <w:t>, we use that other problematic term, myth/</w:t>
      </w:r>
      <w:r w:rsidRPr="00621537">
        <w:rPr>
          <w:rFonts w:cs="Times New Roman"/>
          <w:i/>
        </w:rPr>
        <w:t>m</w:t>
      </w:r>
      <w:r>
        <w:rPr>
          <w:rFonts w:cs="Times New Roman"/>
          <w:i/>
        </w:rPr>
        <w:t>u</w:t>
      </w:r>
      <w:r w:rsidRPr="00621537">
        <w:rPr>
          <w:rFonts w:cs="Times New Roman"/>
          <w:i/>
        </w:rPr>
        <w:t xml:space="preserve">thos </w:t>
      </w:r>
      <w:r w:rsidRPr="00621537">
        <w:rPr>
          <w:rFonts w:cs="Times New Roman"/>
        </w:rPr>
        <w:t xml:space="preserve">here in the quite restricted sense of ‘characters and plots found in poetic narratives’ that can constitute </w:t>
      </w:r>
      <w:r w:rsidR="00D3306C" w:rsidRPr="00633945">
        <w:rPr>
          <w:rFonts w:cs="Times New Roman"/>
          <w:highlight w:val="yellow"/>
        </w:rPr>
        <w:t>what Alan Cameron called ‘cultural knowledge’</w:t>
      </w:r>
      <w:r>
        <w:rPr>
          <w:rFonts w:cs="Times New Roman"/>
        </w:rPr>
        <w:t xml:space="preserve"> (Cameron (2004) xii)</w:t>
      </w:r>
      <w:r w:rsidRPr="00621537">
        <w:rPr>
          <w:rFonts w:cs="Times New Roman"/>
        </w:rPr>
        <w:t>. Our usages should not suggest analogues with modern uses or definitions of the term in anthropology, psychology, and the like.</w:t>
      </w:r>
    </w:p>
  </w:footnote>
  <w:footnote w:id="4">
    <w:p w14:paraId="304DDE73" w14:textId="0A8386A1" w:rsidR="00744B08" w:rsidRPr="00621537" w:rsidRDefault="00744B08" w:rsidP="000B40D3">
      <w:pPr>
        <w:pStyle w:val="FootnoteText"/>
        <w:rPr>
          <w:rFonts w:cs="Times New Roman"/>
        </w:rPr>
      </w:pPr>
      <w:r w:rsidRPr="00621537">
        <w:rPr>
          <w:rStyle w:val="FootnoteReference"/>
          <w:rFonts w:cs="Times New Roman"/>
        </w:rPr>
        <w:footnoteRef/>
      </w:r>
      <w:r w:rsidRPr="00621537">
        <w:rPr>
          <w:rFonts w:cs="Times New Roman"/>
        </w:rPr>
        <w:t xml:space="preserve"> Scholarship on Greco-Roman mythography has flourished in recent decades. For surveys of the corpus, see Wendel (1935); Häussler (1984); Henrichs (1987); Fasce (1988); Lightfoot (1999) esp. 224-27; Alganza Roldán (2006); Trzaskoma and Smith (2013); </w:t>
      </w:r>
      <w:r w:rsidR="00087D7F">
        <w:rPr>
          <w:rFonts w:cs="Times New Roman"/>
        </w:rPr>
        <w:t xml:space="preserve">Delattre (2013); </w:t>
      </w:r>
      <w:r w:rsidRPr="00621537">
        <w:rPr>
          <w:rFonts w:cs="Times New Roman"/>
        </w:rPr>
        <w:t xml:space="preserve">Pàmias (2017); Marincola (2019); Smith and Trzaskoma (2020). Much of the current work takes place under the aegis of the European research network </w:t>
      </w:r>
      <w:r w:rsidRPr="00621537">
        <w:rPr>
          <w:rFonts w:cs="Times New Roman"/>
          <w:i/>
          <w:iCs/>
        </w:rPr>
        <w:t>Polymnia</w:t>
      </w:r>
      <w:r w:rsidRPr="00621537">
        <w:rPr>
          <w:rFonts w:cs="Times New Roman"/>
        </w:rPr>
        <w:t xml:space="preserve">, and </w:t>
      </w:r>
      <w:r w:rsidRPr="00621537">
        <w:rPr>
          <w:rFonts w:cs="Times New Roman"/>
          <w:i/>
          <w:iCs/>
        </w:rPr>
        <w:t xml:space="preserve">NARGAMM </w:t>
      </w:r>
      <w:r w:rsidRPr="00621537">
        <w:rPr>
          <w:rFonts w:cs="Times New Roman"/>
        </w:rPr>
        <w:t>in North America.</w:t>
      </w:r>
    </w:p>
  </w:footnote>
  <w:footnote w:id="5">
    <w:p w14:paraId="365BBA45" w14:textId="77777777" w:rsidR="00744B08" w:rsidRPr="00621537" w:rsidRDefault="00744B08" w:rsidP="000B40D3">
      <w:pPr>
        <w:pStyle w:val="FootnoteText"/>
        <w:spacing w:line="276" w:lineRule="auto"/>
        <w:rPr>
          <w:rFonts w:cs="Times New Roman"/>
        </w:rPr>
      </w:pPr>
      <w:r w:rsidRPr="00621537">
        <w:rPr>
          <w:rStyle w:val="FootnoteReference"/>
          <w:rFonts w:cs="Times New Roman"/>
        </w:rPr>
        <w:footnoteRef/>
      </w:r>
      <w:r w:rsidRPr="00621537">
        <w:rPr>
          <w:rFonts w:cs="Times New Roman"/>
        </w:rPr>
        <w:t xml:space="preserve"> For the ‘mythographic impulse’, see Trzaskoma (2013) xv–xvi; Hawes (2014a) 135.</w:t>
      </w:r>
    </w:p>
  </w:footnote>
  <w:footnote w:id="6">
    <w:p w14:paraId="7805B065" w14:textId="77777777" w:rsidR="00744B08" w:rsidRPr="00621537" w:rsidRDefault="00744B08" w:rsidP="000B40D3">
      <w:pPr>
        <w:pStyle w:val="FootnoteText"/>
        <w:spacing w:line="276" w:lineRule="auto"/>
        <w:rPr>
          <w:rFonts w:cs="Times New Roman"/>
        </w:rPr>
      </w:pPr>
      <w:r w:rsidRPr="00621537">
        <w:rPr>
          <w:rStyle w:val="FootnoteReference"/>
          <w:rFonts w:cs="Times New Roman"/>
        </w:rPr>
        <w:footnoteRef/>
      </w:r>
      <w:r w:rsidRPr="00621537">
        <w:rPr>
          <w:rFonts w:cs="Times New Roman"/>
        </w:rPr>
        <w:t xml:space="preserve"> For the features of the mythographic register, see Fowler (2006). The quotation is from p. 43. </w:t>
      </w:r>
    </w:p>
  </w:footnote>
  <w:footnote w:id="7">
    <w:p w14:paraId="0D4D0FE6" w14:textId="77777777" w:rsidR="00744B08" w:rsidRPr="00621537" w:rsidRDefault="00744B08" w:rsidP="000B40D3">
      <w:pPr>
        <w:pStyle w:val="FootnoteText"/>
        <w:spacing w:line="276" w:lineRule="auto"/>
        <w:rPr>
          <w:rFonts w:cs="Times New Roman"/>
        </w:rPr>
      </w:pPr>
      <w:r w:rsidRPr="00621537">
        <w:rPr>
          <w:rStyle w:val="FootnoteReference"/>
          <w:rFonts w:cs="Times New Roman"/>
        </w:rPr>
        <w:footnoteRef/>
      </w:r>
      <w:r w:rsidRPr="00621537">
        <w:rPr>
          <w:rFonts w:cs="Times New Roman"/>
        </w:rPr>
        <w:t xml:space="preserve"> For the textual contexts of mythography, see Pàmias (2015); Hawes (2014b); Fowler (2013) xii–xvii. The intersection of mythographic knowledge and literary culture is the subject of Cameron (2004).</w:t>
      </w:r>
    </w:p>
  </w:footnote>
  <w:footnote w:id="8">
    <w:p w14:paraId="6067B21C" w14:textId="77777777" w:rsidR="00744B08" w:rsidRPr="00621537" w:rsidRDefault="00744B08" w:rsidP="000B40D3">
      <w:pPr>
        <w:pStyle w:val="FootnoteText"/>
        <w:spacing w:line="276" w:lineRule="auto"/>
        <w:rPr>
          <w:rFonts w:cs="Times New Roman"/>
        </w:rPr>
      </w:pPr>
      <w:r w:rsidRPr="00621537">
        <w:rPr>
          <w:rStyle w:val="FootnoteReference"/>
          <w:rFonts w:cs="Times New Roman"/>
        </w:rPr>
        <w:footnoteRef/>
      </w:r>
      <w:r w:rsidRPr="00621537">
        <w:rPr>
          <w:rFonts w:cs="Times New Roman"/>
        </w:rPr>
        <w:t xml:space="preserve"> Detienne (1981) 131–33. For fuller discussion of the general disparagement of literate genres by scholars of myth, see Hawes (2014b), esp. 127–29.</w:t>
      </w:r>
    </w:p>
  </w:footnote>
  <w:footnote w:id="9">
    <w:p w14:paraId="0528C7EC" w14:textId="77777777" w:rsidR="00744B08" w:rsidRPr="00621537" w:rsidRDefault="00744B08" w:rsidP="000B40D3">
      <w:pPr>
        <w:pStyle w:val="FootnoteText"/>
        <w:spacing w:line="276" w:lineRule="auto"/>
        <w:rPr>
          <w:rFonts w:cs="Times New Roman"/>
        </w:rPr>
      </w:pPr>
      <w:r w:rsidRPr="00621537">
        <w:rPr>
          <w:rStyle w:val="FootnoteReference"/>
          <w:rFonts w:cs="Times New Roman"/>
        </w:rPr>
        <w:footnoteRef/>
      </w:r>
      <w:r w:rsidRPr="00621537">
        <w:rPr>
          <w:rFonts w:cs="Times New Roman"/>
        </w:rPr>
        <w:t xml:space="preserve"> Calame (2009) 4–5.</w:t>
      </w:r>
    </w:p>
  </w:footnote>
  <w:footnote w:id="10">
    <w:p w14:paraId="088A63DB" w14:textId="77777777" w:rsidR="00744B08" w:rsidRPr="00621537" w:rsidRDefault="00744B08" w:rsidP="000B40D3">
      <w:pPr>
        <w:pStyle w:val="FootnoteText"/>
        <w:spacing w:line="276" w:lineRule="auto"/>
        <w:jc w:val="both"/>
        <w:rPr>
          <w:rFonts w:cs="Times New Roman"/>
        </w:rPr>
      </w:pPr>
      <w:r w:rsidRPr="00621537">
        <w:rPr>
          <w:rStyle w:val="FootnoteReference"/>
          <w:rFonts w:cs="Times New Roman"/>
        </w:rPr>
        <w:footnoteRef/>
      </w:r>
      <w:r w:rsidRPr="00621537">
        <w:rPr>
          <w:rFonts w:cs="Times New Roman"/>
        </w:rPr>
        <w:t xml:space="preserve"> Hansen (2013) 19. </w:t>
      </w:r>
    </w:p>
  </w:footnote>
  <w:footnote w:id="11">
    <w:p w14:paraId="40258819" w14:textId="77777777" w:rsidR="00744B08" w:rsidRPr="00621537" w:rsidRDefault="00744B08" w:rsidP="000B40D3">
      <w:pPr>
        <w:pStyle w:val="FootnoteText"/>
        <w:spacing w:line="276" w:lineRule="auto"/>
        <w:rPr>
          <w:rFonts w:cs="Times New Roman"/>
        </w:rPr>
      </w:pPr>
      <w:r w:rsidRPr="00621537">
        <w:rPr>
          <w:rStyle w:val="FootnoteReference"/>
          <w:rFonts w:cs="Times New Roman"/>
        </w:rPr>
        <w:footnoteRef/>
      </w:r>
      <w:r w:rsidRPr="00621537">
        <w:rPr>
          <w:rFonts w:cs="Times New Roman"/>
        </w:rPr>
        <w:t xml:space="preserve"> Johnston (2018) 10, 11. Italics in original. </w:t>
      </w:r>
    </w:p>
  </w:footnote>
  <w:footnote w:id="12">
    <w:p w14:paraId="7AE3021E" w14:textId="77777777" w:rsidR="00744B08" w:rsidRPr="00621537" w:rsidRDefault="00744B08" w:rsidP="000B40D3">
      <w:pPr>
        <w:pStyle w:val="FootnoteText"/>
        <w:rPr>
          <w:rFonts w:cs="Times New Roman"/>
        </w:rPr>
      </w:pPr>
      <w:r w:rsidRPr="00621537">
        <w:rPr>
          <w:rStyle w:val="FootnoteReference"/>
          <w:rFonts w:cs="Times New Roman"/>
        </w:rPr>
        <w:footnoteRef/>
      </w:r>
      <w:r w:rsidRPr="00621537">
        <w:rPr>
          <w:rFonts w:cs="Times New Roman"/>
        </w:rPr>
        <w:t xml:space="preserve"> For examples of this approach, see the work collected in </w:t>
      </w:r>
      <w:r w:rsidRPr="00621537">
        <w:rPr>
          <w:rFonts w:cs="Times New Roman"/>
          <w:szCs w:val="24"/>
        </w:rPr>
        <w:t>Pàmias (2011); Trzaskoma and Smith (2013); Besson et al. (2016); Smith and Trzaskoma (2020)</w:t>
      </w:r>
      <w:r w:rsidRPr="00621537">
        <w:rPr>
          <w:rFonts w:cs="Times New Roman"/>
        </w:rPr>
        <w:t>.</w:t>
      </w:r>
    </w:p>
  </w:footnote>
  <w:footnote w:id="13">
    <w:p w14:paraId="71D52D56" w14:textId="77777777" w:rsidR="00744B08" w:rsidRPr="00621537" w:rsidRDefault="00744B08" w:rsidP="000B40D3">
      <w:pPr>
        <w:pStyle w:val="FootnoteText"/>
        <w:rPr>
          <w:rFonts w:cs="Times New Roman"/>
        </w:rPr>
      </w:pPr>
      <w:r w:rsidRPr="00621537">
        <w:rPr>
          <w:rStyle w:val="FootnoteReference"/>
          <w:rFonts w:cs="Times New Roman"/>
        </w:rPr>
        <w:footnoteRef/>
      </w:r>
      <w:r w:rsidRPr="00621537">
        <w:rPr>
          <w:rFonts w:cs="Times New Roman"/>
        </w:rPr>
        <w:t xml:space="preserve"> Gibson (2014) uses ‘topography’ to describe the features shared by Roman law books which allowed readers to find their way through them in the absence of indices or lists of contents. He notes that the term usefully encompasses both the physical properties of space which a text fills, and its imaginative dimensions (p. 57). Mythographic texts do display notable similarities of prose style and organization and some mythographers deliberately adopt features of earlier models, e.g. Apollodorus and Pherecydes (see Kenens (2012) 148–54; Fowler (2013) 710–15); Heraclitus and Palaephatus (see Delattre (2013) 51–54; Hawes (2014a) 95–98). In this article, however, we are concerned with the particular narrative approaches and organizational strategies found in a single text. For the mythographic topography framework used in a quite different context – that of Pausanias’ </w:t>
      </w:r>
      <w:r w:rsidRPr="00621537">
        <w:rPr>
          <w:rFonts w:cs="Times New Roman"/>
          <w:i/>
          <w:iCs/>
        </w:rPr>
        <w:t xml:space="preserve">Periegesis </w:t>
      </w:r>
      <w:r w:rsidRPr="00621537">
        <w:rPr>
          <w:rFonts w:cs="Times New Roman"/>
        </w:rPr>
        <w:t>– see Hawes (2019); Hawes (2021).</w:t>
      </w:r>
    </w:p>
  </w:footnote>
  <w:footnote w:id="14">
    <w:p w14:paraId="1A392093" w14:textId="77777777" w:rsidR="00744B08" w:rsidRPr="00621537" w:rsidRDefault="00744B08" w:rsidP="000B40D3">
      <w:pPr>
        <w:pStyle w:val="FootnoteText"/>
        <w:spacing w:line="276" w:lineRule="auto"/>
        <w:jc w:val="both"/>
        <w:rPr>
          <w:rFonts w:cs="Times New Roman"/>
        </w:rPr>
      </w:pPr>
      <w:r w:rsidRPr="00621537">
        <w:rPr>
          <w:rStyle w:val="FootnoteReference"/>
          <w:rFonts w:cs="Times New Roman"/>
        </w:rPr>
        <w:footnoteRef/>
      </w:r>
      <w:r w:rsidRPr="00621537">
        <w:rPr>
          <w:rFonts w:cs="Times New Roman"/>
        </w:rPr>
        <w:t xml:space="preserve"> Genette (1969) 44.</w:t>
      </w:r>
    </w:p>
  </w:footnote>
  <w:footnote w:id="15">
    <w:p w14:paraId="1CA36346" w14:textId="77777777" w:rsidR="00744B08" w:rsidRPr="00621537" w:rsidRDefault="00744B08" w:rsidP="000B40D3">
      <w:pPr>
        <w:pStyle w:val="FootnoteText"/>
        <w:spacing w:line="276" w:lineRule="auto"/>
        <w:jc w:val="both"/>
        <w:rPr>
          <w:rFonts w:cs="Times New Roman"/>
        </w:rPr>
      </w:pPr>
      <w:r w:rsidRPr="00621537">
        <w:rPr>
          <w:rStyle w:val="FootnoteReference"/>
          <w:rFonts w:cs="Times New Roman"/>
        </w:rPr>
        <w:footnoteRef/>
      </w:r>
      <w:r w:rsidRPr="00621537">
        <w:rPr>
          <w:rFonts w:cs="Times New Roman"/>
        </w:rPr>
        <w:t xml:space="preserve"> Christin (2009) 191.</w:t>
      </w:r>
    </w:p>
  </w:footnote>
  <w:footnote w:id="16">
    <w:p w14:paraId="43242CED" w14:textId="77777777" w:rsidR="00744B08" w:rsidRPr="00621537" w:rsidRDefault="00744B08" w:rsidP="000B40D3">
      <w:pPr>
        <w:pStyle w:val="FootnoteText"/>
        <w:rPr>
          <w:rFonts w:cs="Times New Roman"/>
        </w:rPr>
      </w:pPr>
      <w:r w:rsidRPr="00621537">
        <w:rPr>
          <w:rStyle w:val="FootnoteReference"/>
          <w:rFonts w:cs="Times New Roman"/>
        </w:rPr>
        <w:footnoteRef/>
      </w:r>
      <w:r w:rsidRPr="00621537">
        <w:rPr>
          <w:rFonts w:cs="Times New Roman"/>
        </w:rPr>
        <w:t xml:space="preserve"> An important study of readers’ spatial comprehension of fictional worlds is Ryan (2003). The problematic discreteness of the geography of the Greek mythic ‘storyworld’ is discussed by Fowler (2017); Johnston (2018) 121–46. Digital initiatives in mapping narrative bring the uneasy interplay between lived reality, the discursive space of texts and the representational abstractions of maps of various kinds into bold relief; see, most notably, Barker et al. (2015). </w:t>
      </w:r>
    </w:p>
  </w:footnote>
  <w:footnote w:id="17">
    <w:p w14:paraId="5DDC5849" w14:textId="77777777" w:rsidR="00744B08" w:rsidRPr="00621537" w:rsidRDefault="00744B08" w:rsidP="000B40D3">
      <w:pPr>
        <w:pStyle w:val="FootnoteText"/>
        <w:spacing w:line="276" w:lineRule="auto"/>
        <w:rPr>
          <w:rFonts w:cs="Times New Roman"/>
        </w:rPr>
      </w:pPr>
      <w:r w:rsidRPr="00621537">
        <w:rPr>
          <w:rStyle w:val="FootnoteReference"/>
          <w:rFonts w:cs="Times New Roman"/>
        </w:rPr>
        <w:footnoteRef/>
      </w:r>
      <w:r w:rsidRPr="00621537">
        <w:rPr>
          <w:rFonts w:cs="Times New Roman"/>
        </w:rPr>
        <w:t xml:space="preserve"> Purves (2010) 15.</w:t>
      </w:r>
    </w:p>
  </w:footnote>
  <w:footnote w:id="18">
    <w:p w14:paraId="6933E0B4" w14:textId="77777777" w:rsidR="00744B08" w:rsidRPr="00621537" w:rsidRDefault="00744B08" w:rsidP="000B40D3">
      <w:pPr>
        <w:pStyle w:val="FootnoteText"/>
        <w:rPr>
          <w:rFonts w:cs="Times New Roman"/>
        </w:rPr>
      </w:pPr>
      <w:r w:rsidRPr="00621537">
        <w:rPr>
          <w:rStyle w:val="FootnoteReference"/>
          <w:rFonts w:cs="Times New Roman"/>
        </w:rPr>
        <w:footnoteRef/>
      </w:r>
      <w:r w:rsidRPr="00621537">
        <w:rPr>
          <w:rFonts w:cs="Times New Roman"/>
        </w:rPr>
        <w:t xml:space="preserve"> Purves (2010); drawing in part from Janni (1984). </w:t>
      </w:r>
    </w:p>
  </w:footnote>
  <w:footnote w:id="19">
    <w:p w14:paraId="064040B8" w14:textId="77777777" w:rsidR="00744B08" w:rsidRPr="00621537" w:rsidRDefault="00744B08" w:rsidP="000B40D3">
      <w:pPr>
        <w:pStyle w:val="FootnoteText"/>
        <w:rPr>
          <w:rFonts w:cs="Times New Roman"/>
        </w:rPr>
      </w:pPr>
      <w:r w:rsidRPr="00621537">
        <w:rPr>
          <w:rStyle w:val="FootnoteReference"/>
          <w:rFonts w:cs="Times New Roman"/>
        </w:rPr>
        <w:footnoteRef/>
      </w:r>
      <w:r w:rsidRPr="00621537">
        <w:rPr>
          <w:rFonts w:cs="Times New Roman"/>
        </w:rPr>
        <w:t xml:space="preserve"> Purves (2010) 147.</w:t>
      </w:r>
    </w:p>
  </w:footnote>
  <w:footnote w:id="20">
    <w:p w14:paraId="69FF98D3" w14:textId="77777777" w:rsidR="00744B08" w:rsidRPr="00621537" w:rsidRDefault="00744B08" w:rsidP="000B40D3">
      <w:pPr>
        <w:pStyle w:val="FootnoteText"/>
        <w:rPr>
          <w:rFonts w:cs="Times New Roman"/>
        </w:rPr>
      </w:pPr>
      <w:r w:rsidRPr="00621537">
        <w:rPr>
          <w:rStyle w:val="FootnoteReference"/>
          <w:rFonts w:cs="Times New Roman"/>
        </w:rPr>
        <w:footnoteRef/>
      </w:r>
      <w:r w:rsidRPr="00621537">
        <w:rPr>
          <w:rFonts w:cs="Times New Roman"/>
        </w:rPr>
        <w:t xml:space="preserve"> Purves (2010) 146. Purves seems to develop what is for the most part implicit in Eco (1979), where the hidden metaphor of a ‘journey’ explains the use of expressions like </w:t>
      </w:r>
      <w:r w:rsidRPr="00621537">
        <w:rPr>
          <w:rFonts w:cs="Times New Roman"/>
          <w:i/>
        </w:rPr>
        <w:t>passeggiate inferenziali</w:t>
      </w:r>
      <w:r w:rsidRPr="00621537">
        <w:rPr>
          <w:rFonts w:cs="Times New Roman"/>
        </w:rPr>
        <w:t xml:space="preserve"> (‘inferential strolls’, 7.3) to explain the phenomenon of inferences made by the reader in the process of reading.</w:t>
      </w:r>
    </w:p>
  </w:footnote>
  <w:footnote w:id="21">
    <w:p w14:paraId="0D96C985" w14:textId="77777777" w:rsidR="00744B08" w:rsidRPr="00621537" w:rsidRDefault="00744B08" w:rsidP="000B40D3">
      <w:pPr>
        <w:pStyle w:val="FootnoteText"/>
        <w:rPr>
          <w:rFonts w:cs="Times New Roman"/>
        </w:rPr>
      </w:pPr>
      <w:r w:rsidRPr="00621537">
        <w:rPr>
          <w:rStyle w:val="FootnoteReference"/>
          <w:rFonts w:cs="Times New Roman"/>
        </w:rPr>
        <w:footnoteRef/>
      </w:r>
      <w:r w:rsidRPr="00621537">
        <w:rPr>
          <w:rFonts w:cs="Times New Roman"/>
        </w:rPr>
        <w:t xml:space="preserve"> </w:t>
      </w:r>
      <w:r w:rsidRPr="00621537">
        <w:rPr>
          <w:rFonts w:cs="Times New Roman"/>
          <w:szCs w:val="24"/>
        </w:rPr>
        <w:t>Ingold (2007) 75–84</w:t>
      </w:r>
      <w:r w:rsidRPr="00621537">
        <w:rPr>
          <w:rFonts w:cs="Times New Roman"/>
        </w:rPr>
        <w:t>.</w:t>
      </w:r>
    </w:p>
  </w:footnote>
  <w:footnote w:id="22">
    <w:p w14:paraId="6CBDB83F" w14:textId="72D0858F" w:rsidR="00744B08" w:rsidRPr="00621537" w:rsidRDefault="00744B08" w:rsidP="000B40D3">
      <w:pPr>
        <w:pStyle w:val="FootnoteText"/>
        <w:rPr>
          <w:rFonts w:cs="Times New Roman"/>
        </w:rPr>
      </w:pPr>
      <w:r w:rsidRPr="00621537">
        <w:rPr>
          <w:rStyle w:val="FootnoteReference"/>
          <w:rFonts w:cs="Times New Roman"/>
        </w:rPr>
        <w:footnoteRef/>
      </w:r>
      <w:r w:rsidRPr="00621537">
        <w:rPr>
          <w:rFonts w:cs="Times New Roman"/>
        </w:rPr>
        <w:t xml:space="preserve"> e.g. Arist. </w:t>
      </w:r>
      <w:r w:rsidRPr="00621537">
        <w:rPr>
          <w:rFonts w:cs="Times New Roman"/>
          <w:i/>
        </w:rPr>
        <w:t xml:space="preserve">Poet. </w:t>
      </w:r>
      <w:r w:rsidRPr="00621537">
        <w:rPr>
          <w:rFonts w:cs="Times New Roman"/>
        </w:rPr>
        <w:t>1459a32-3.</w:t>
      </w:r>
      <w:r>
        <w:rPr>
          <w:rFonts w:cs="Times New Roman"/>
        </w:rPr>
        <w:t xml:space="preserve"> </w:t>
      </w:r>
      <w:r w:rsidRPr="00621537">
        <w:rPr>
          <w:rFonts w:cs="Times New Roman"/>
        </w:rPr>
        <w:t xml:space="preserve">Discussed in this context by Purves (2010) 24–32; Grethlein (2017) 60. Grethlein, while arguing for the fundamentally </w:t>
      </w:r>
      <w:r w:rsidRPr="00621537">
        <w:rPr>
          <w:rFonts w:cs="Times New Roman"/>
          <w:i/>
        </w:rPr>
        <w:t>temporal</w:t>
      </w:r>
      <w:r w:rsidRPr="00621537">
        <w:rPr>
          <w:rFonts w:cs="Times New Roman"/>
        </w:rPr>
        <w:t xml:space="preserve"> nature of narrative, nonetheless recognizes the synchronic comprehension of a plot as a spatial dynamic (pp. 59-65). </w:t>
      </w:r>
    </w:p>
  </w:footnote>
  <w:footnote w:id="23">
    <w:p w14:paraId="45524D49" w14:textId="44A0AC32" w:rsidR="00744B08" w:rsidRPr="00621537" w:rsidRDefault="00744B08" w:rsidP="000B40D3">
      <w:pPr>
        <w:pStyle w:val="FootnoteText"/>
        <w:spacing w:line="276" w:lineRule="auto"/>
        <w:jc w:val="both"/>
        <w:rPr>
          <w:rFonts w:cs="Times New Roman"/>
        </w:rPr>
      </w:pPr>
      <w:r w:rsidRPr="00621537">
        <w:rPr>
          <w:rStyle w:val="FootnoteReference"/>
          <w:rFonts w:cs="Times New Roman"/>
        </w:rPr>
        <w:footnoteRef/>
      </w:r>
      <w:r w:rsidRPr="00621537">
        <w:rPr>
          <w:rFonts w:cs="Times New Roman"/>
        </w:rPr>
        <w:t xml:space="preserve"> Thus, Johnson (2016) 5: ‘There is no way of communicating a single datum of human knowledge that is not, in some way, imprecise about that same knowledge. The copy of the thing will always be somewhat less than the thing itself</w:t>
      </w:r>
      <w:r>
        <w:rPr>
          <w:rFonts w:cs="Times New Roman"/>
        </w:rPr>
        <w:t>.</w:t>
      </w:r>
      <w:r w:rsidRPr="00621537">
        <w:rPr>
          <w:rFonts w:cs="Times New Roman"/>
        </w:rPr>
        <w:t>’</w:t>
      </w:r>
    </w:p>
  </w:footnote>
  <w:footnote w:id="24">
    <w:p w14:paraId="016BC1DD" w14:textId="77777777" w:rsidR="00744B08" w:rsidRPr="00621537" w:rsidRDefault="00744B08" w:rsidP="000B40D3">
      <w:pPr>
        <w:pStyle w:val="FootnoteText"/>
        <w:spacing w:line="276" w:lineRule="auto"/>
        <w:jc w:val="both"/>
        <w:rPr>
          <w:rFonts w:cs="Times New Roman"/>
        </w:rPr>
      </w:pPr>
      <w:r w:rsidRPr="00621537">
        <w:rPr>
          <w:rStyle w:val="FootnoteReference"/>
          <w:rFonts w:cs="Times New Roman"/>
        </w:rPr>
        <w:footnoteRef/>
      </w:r>
      <w:r w:rsidRPr="00621537">
        <w:rPr>
          <w:rFonts w:cs="Times New Roman"/>
        </w:rPr>
        <w:t xml:space="preserve"> Thus, Scheid and Svenbro (2003) 8 define myth as a ‘concaténation de catégories’, encompassing narratives, images and rituals.</w:t>
      </w:r>
    </w:p>
  </w:footnote>
  <w:footnote w:id="25">
    <w:p w14:paraId="1DF8F4AF" w14:textId="77777777" w:rsidR="00744B08" w:rsidRPr="00621537" w:rsidRDefault="00744B08" w:rsidP="000B40D3">
      <w:pPr>
        <w:pStyle w:val="FootnoteText"/>
        <w:spacing w:line="276" w:lineRule="auto"/>
        <w:jc w:val="both"/>
        <w:rPr>
          <w:rFonts w:cs="Times New Roman"/>
        </w:rPr>
      </w:pPr>
      <w:r w:rsidRPr="00621537">
        <w:rPr>
          <w:rStyle w:val="FootnoteReference"/>
          <w:rFonts w:cs="Times New Roman"/>
        </w:rPr>
        <w:footnoteRef/>
      </w:r>
      <w:r w:rsidRPr="00621537">
        <w:rPr>
          <w:rFonts w:cs="Times New Roman"/>
        </w:rPr>
        <w:t xml:space="preserve"> Miller (1995) 7–8.</w:t>
      </w:r>
    </w:p>
  </w:footnote>
  <w:footnote w:id="26">
    <w:p w14:paraId="72CF964B" w14:textId="77777777" w:rsidR="00744B08" w:rsidRPr="00621537" w:rsidRDefault="00744B08" w:rsidP="000B40D3">
      <w:pPr>
        <w:pStyle w:val="FootnoteText"/>
        <w:rPr>
          <w:rFonts w:cs="Times New Roman"/>
        </w:rPr>
      </w:pPr>
      <w:r w:rsidRPr="00621537">
        <w:rPr>
          <w:rStyle w:val="FootnoteReference"/>
          <w:rFonts w:cs="Times New Roman"/>
        </w:rPr>
        <w:footnoteRef/>
      </w:r>
      <w:r w:rsidRPr="00621537">
        <w:rPr>
          <w:rFonts w:cs="Times New Roman"/>
        </w:rPr>
        <w:t xml:space="preserve"> Purves (2010) 150.</w:t>
      </w:r>
    </w:p>
  </w:footnote>
  <w:footnote w:id="27">
    <w:p w14:paraId="20C5B3D8" w14:textId="77777777" w:rsidR="00744B08" w:rsidRPr="00621537" w:rsidRDefault="00744B08" w:rsidP="000B40D3">
      <w:pPr>
        <w:pStyle w:val="FootnoteText"/>
        <w:spacing w:line="276" w:lineRule="auto"/>
        <w:jc w:val="both"/>
        <w:rPr>
          <w:rFonts w:cs="Times New Roman"/>
        </w:rPr>
      </w:pPr>
      <w:r w:rsidRPr="00621537">
        <w:rPr>
          <w:rStyle w:val="FootnoteReference"/>
          <w:rFonts w:cs="Times New Roman"/>
        </w:rPr>
        <w:footnoteRef/>
      </w:r>
      <w:r w:rsidRPr="00621537">
        <w:rPr>
          <w:rFonts w:cs="Times New Roman"/>
        </w:rPr>
        <w:t xml:space="preserve"> For discussion of this double meaning, see Miller (1995) 3–4.</w:t>
      </w:r>
    </w:p>
  </w:footnote>
  <w:footnote w:id="28">
    <w:p w14:paraId="5B91399D" w14:textId="4AB286E6" w:rsidR="00744B08" w:rsidRPr="00621537" w:rsidRDefault="00744B08" w:rsidP="000B40D3">
      <w:pPr>
        <w:pStyle w:val="FootnoteText"/>
        <w:spacing w:line="276" w:lineRule="auto"/>
        <w:jc w:val="both"/>
        <w:rPr>
          <w:rFonts w:cs="Times New Roman"/>
        </w:rPr>
      </w:pPr>
      <w:r w:rsidRPr="00621537">
        <w:rPr>
          <w:rStyle w:val="FootnoteReference"/>
          <w:rFonts w:cs="Times New Roman"/>
        </w:rPr>
        <w:footnoteRef/>
      </w:r>
      <w:r w:rsidRPr="00621537">
        <w:rPr>
          <w:rFonts w:cs="Times New Roman"/>
        </w:rPr>
        <w:t xml:space="preserve"> On this, see </w:t>
      </w:r>
      <w:r w:rsidRPr="00621537">
        <w:rPr>
          <w:rFonts w:cs="Times New Roman"/>
          <w:szCs w:val="24"/>
        </w:rPr>
        <w:t>Riggsby (2007) 35–36</w:t>
      </w:r>
      <w:r w:rsidRPr="00621537">
        <w:rPr>
          <w:rFonts w:cs="Times New Roman"/>
        </w:rPr>
        <w:t>: ‘The extraordinary fact of the subsumption of the multifarious nations of the earth under a single political framework was a repeated motif of imperial ideology, whether in the artistic representations carried in triumphs or more formally in the development of world-maps.</w:t>
      </w:r>
      <w:r>
        <w:rPr>
          <w:rFonts w:cs="Times New Roman"/>
        </w:rPr>
        <w:t xml:space="preserve"> </w:t>
      </w:r>
      <w:r w:rsidRPr="00621537">
        <w:rPr>
          <w:rFonts w:cs="Times New Roman"/>
        </w:rPr>
        <w:t>The relationship in a map between discrete parts and architectonic whole is simultaneously ‘imperial’ and ‘archival’: ‘unity in diversity’ is the rhetoric common to both modes of thinking</w:t>
      </w:r>
      <w:r>
        <w:rPr>
          <w:rFonts w:cs="Times New Roman"/>
        </w:rPr>
        <w:t>.</w:t>
      </w:r>
      <w:r w:rsidRPr="00621537">
        <w:rPr>
          <w:rFonts w:cs="Times New Roman"/>
        </w:rPr>
        <w:t>’ For the power dynamics of mythography within the Roman Empire, see Delattre (2017a).</w:t>
      </w:r>
    </w:p>
  </w:footnote>
  <w:footnote w:id="29">
    <w:p w14:paraId="6D5C1533" w14:textId="6E7CD696" w:rsidR="00744B08" w:rsidRPr="00621537" w:rsidRDefault="00744B08" w:rsidP="000B40D3">
      <w:pPr>
        <w:pStyle w:val="FootnoteText"/>
        <w:spacing w:line="276" w:lineRule="auto"/>
        <w:jc w:val="both"/>
        <w:rPr>
          <w:rFonts w:cs="Times New Roman"/>
        </w:rPr>
      </w:pPr>
      <w:r w:rsidRPr="00621537">
        <w:rPr>
          <w:rStyle w:val="FootnoteReference"/>
          <w:rFonts w:cs="Times New Roman"/>
        </w:rPr>
        <w:footnoteRef/>
      </w:r>
      <w:r w:rsidRPr="00621537">
        <w:rPr>
          <w:rFonts w:cs="Times New Roman"/>
        </w:rPr>
        <w:t xml:space="preserve"> Antoninus’ name suggests a Roman context, but we can only speculate on his background and social status; equally we cannot determine whether his mother tongue was Greek, Latin or even some other language. For </w:t>
      </w:r>
      <w:r>
        <w:rPr>
          <w:rFonts w:cs="Times New Roman"/>
        </w:rPr>
        <w:t xml:space="preserve">an </w:t>
      </w:r>
      <w:r w:rsidRPr="00621537">
        <w:rPr>
          <w:rFonts w:cs="Times New Roman"/>
        </w:rPr>
        <w:t>overview, see Delattre (2020). The current editions of the text are Cazzaniga (1962) and Papathomopoulos (1968), the latter of which has a comprehensive introduction.</w:t>
      </w:r>
      <w:r>
        <w:rPr>
          <w:rFonts w:cs="Times New Roman"/>
        </w:rPr>
        <w:t xml:space="preserve"> </w:t>
      </w:r>
    </w:p>
  </w:footnote>
  <w:footnote w:id="30">
    <w:p w14:paraId="00A62537" w14:textId="77777777" w:rsidR="00744B08" w:rsidRPr="00621537" w:rsidRDefault="00744B08" w:rsidP="000B40D3">
      <w:pPr>
        <w:pStyle w:val="FootnoteText"/>
        <w:rPr>
          <w:rFonts w:cs="Times New Roman"/>
        </w:rPr>
      </w:pPr>
      <w:r w:rsidRPr="00621537">
        <w:rPr>
          <w:rStyle w:val="FootnoteReference"/>
          <w:rFonts w:cs="Times New Roman"/>
        </w:rPr>
        <w:footnoteRef/>
      </w:r>
      <w:r w:rsidRPr="00621537">
        <w:rPr>
          <w:rFonts w:cs="Times New Roman"/>
        </w:rPr>
        <w:t xml:space="preserve"> Delattre (2019).</w:t>
      </w:r>
    </w:p>
  </w:footnote>
  <w:footnote w:id="31">
    <w:p w14:paraId="00EE60D0" w14:textId="61B9119A" w:rsidR="00744B08" w:rsidRPr="00621537" w:rsidRDefault="00744B08" w:rsidP="000B40D3">
      <w:pPr>
        <w:pStyle w:val="FootnoteText"/>
        <w:spacing w:line="276" w:lineRule="auto"/>
        <w:jc w:val="both"/>
        <w:rPr>
          <w:rFonts w:cs="Times New Roman"/>
        </w:rPr>
      </w:pPr>
      <w:r w:rsidRPr="00621537">
        <w:rPr>
          <w:rStyle w:val="FootnoteReference"/>
          <w:rFonts w:cs="Times New Roman"/>
        </w:rPr>
        <w:footnoteRef/>
      </w:r>
      <w:r w:rsidRPr="00621537">
        <w:rPr>
          <w:rFonts w:cs="Times New Roman"/>
        </w:rPr>
        <w:t xml:space="preserve"> The manuscript is </w:t>
      </w:r>
      <w:r w:rsidR="00223CEE">
        <w:rPr>
          <w:rFonts w:cs="Times New Roman"/>
        </w:rPr>
        <w:t xml:space="preserve">now </w:t>
      </w:r>
      <w:r w:rsidRPr="00621537">
        <w:rPr>
          <w:rFonts w:cs="Times New Roman"/>
        </w:rPr>
        <w:t xml:space="preserve">in Heidelberg </w:t>
      </w:r>
      <w:r w:rsidR="00223CEE">
        <w:rPr>
          <w:rFonts w:cs="Times New Roman"/>
        </w:rPr>
        <w:t xml:space="preserve">University </w:t>
      </w:r>
      <w:r w:rsidRPr="00621537">
        <w:rPr>
          <w:rFonts w:cs="Times New Roman"/>
        </w:rPr>
        <w:t>Library and accessible online: http://digi.ub.uni-heidelberg.de/diglit/cpgraec398.</w:t>
      </w:r>
    </w:p>
  </w:footnote>
  <w:footnote w:id="32">
    <w:p w14:paraId="5404B705" w14:textId="46411F85" w:rsidR="00744B08" w:rsidRPr="00621537" w:rsidRDefault="00744B08" w:rsidP="000B40D3">
      <w:pPr>
        <w:pStyle w:val="FootnoteText"/>
        <w:rPr>
          <w:rFonts w:cs="Times New Roman"/>
        </w:rPr>
      </w:pPr>
      <w:r w:rsidRPr="00621537">
        <w:rPr>
          <w:rStyle w:val="FootnoteReference"/>
          <w:rFonts w:cs="Times New Roman"/>
        </w:rPr>
        <w:footnoteRef/>
      </w:r>
      <w:r w:rsidRPr="00621537">
        <w:rPr>
          <w:rFonts w:cs="Times New Roman"/>
        </w:rPr>
        <w:t xml:space="preserve"> Our approach in this article is thus indicative of a broader problem in the study of ancient mythography in that we work with a corpus in which many of the texts survived precariously or in fragments and thus have suffered (or benefited) from arrangements and reorientations that prevent us from talking of clearly identified authorial intentions and prospects. For this very reason we consider it crucial to place emphasis on what can be known – the topography of mythographic texts – and not on what is less in evidence – the particular goals of individual mythographers. For the same reasons, we take into account that we have, in this case</w:t>
      </w:r>
      <w:r>
        <w:rPr>
          <w:rFonts w:cs="Times New Roman"/>
        </w:rPr>
        <w:t>,</w:t>
      </w:r>
      <w:r w:rsidRPr="00621537">
        <w:rPr>
          <w:rFonts w:cs="Times New Roman"/>
        </w:rPr>
        <w:t xml:space="preserve"> the only manuscript that gives us access to Antoninus Liberalis’ text, and take care to describe it precisely, as do modern scholars when they edit epigraphical texts; see, for the ancient tradition, Petrovic et al. (2019).</w:t>
      </w:r>
    </w:p>
  </w:footnote>
  <w:footnote w:id="33">
    <w:p w14:paraId="53EE2DA4" w14:textId="77777777" w:rsidR="00744B08" w:rsidRPr="00621537" w:rsidRDefault="00744B08" w:rsidP="000B40D3">
      <w:pPr>
        <w:pStyle w:val="FootnoteText"/>
        <w:spacing w:line="276" w:lineRule="auto"/>
        <w:jc w:val="both"/>
        <w:rPr>
          <w:rFonts w:cs="Times New Roman"/>
        </w:rPr>
      </w:pPr>
      <w:r w:rsidRPr="00621537">
        <w:rPr>
          <w:rStyle w:val="FootnoteReference"/>
          <w:rFonts w:cs="Times New Roman"/>
        </w:rPr>
        <w:footnoteRef/>
      </w:r>
      <w:r w:rsidRPr="00621537">
        <w:rPr>
          <w:rFonts w:cs="Times New Roman"/>
        </w:rPr>
        <w:t xml:space="preserve"> The </w:t>
      </w:r>
      <w:r w:rsidRPr="00621537">
        <w:rPr>
          <w:rFonts w:cs="Times New Roman"/>
          <w:i/>
        </w:rPr>
        <w:t xml:space="preserve">Metamorphoses </w:t>
      </w:r>
      <w:r w:rsidRPr="00621537">
        <w:rPr>
          <w:rFonts w:cs="Times New Roman"/>
        </w:rPr>
        <w:t xml:space="preserve">is however inserted into </w:t>
      </w:r>
      <w:r w:rsidRPr="00621537">
        <w:rPr>
          <w:rFonts w:cs="Times New Roman"/>
          <w:i/>
        </w:rPr>
        <w:t xml:space="preserve">external </w:t>
      </w:r>
      <w:r w:rsidRPr="00621537">
        <w:rPr>
          <w:rFonts w:cs="Times New Roman"/>
        </w:rPr>
        <w:t xml:space="preserve">textual networks in two ways. Headlines in the upper or lower margin indicate a potential source or comparative example for 34 of the 41 stories. The significance of these references is still a matter for debate (see Papathomopoulos (1968) xi–xxii). Still largely unexplored and much more difficult to recognize are the many intertextual allusions which are hidden in the text. On these, see Delattre </w:t>
      </w:r>
      <w:r>
        <w:rPr>
          <w:rFonts w:cs="Times New Roman"/>
        </w:rPr>
        <w:t>(</w:t>
      </w:r>
      <w:r w:rsidRPr="00621537">
        <w:rPr>
          <w:rFonts w:cs="Times New Roman"/>
        </w:rPr>
        <w:t>2019</w:t>
      </w:r>
      <w:r>
        <w:rPr>
          <w:rFonts w:cs="Times New Roman"/>
        </w:rPr>
        <w:t>)</w:t>
      </w:r>
      <w:r w:rsidRPr="00621537">
        <w:rPr>
          <w:rFonts w:cs="Times New Roman"/>
        </w:rPr>
        <w:t>.</w:t>
      </w:r>
    </w:p>
  </w:footnote>
  <w:footnote w:id="34">
    <w:p w14:paraId="7359D09B" w14:textId="77777777" w:rsidR="00744B08" w:rsidRPr="00621537" w:rsidRDefault="00744B08" w:rsidP="000B40D3">
      <w:pPr>
        <w:pStyle w:val="FootnoteText"/>
        <w:rPr>
          <w:rFonts w:cs="Times New Roman"/>
        </w:rPr>
      </w:pPr>
      <w:r w:rsidRPr="00621537">
        <w:rPr>
          <w:rStyle w:val="FootnoteReference"/>
          <w:rFonts w:cs="Times New Roman"/>
        </w:rPr>
        <w:footnoteRef/>
      </w:r>
      <w:r w:rsidRPr="00621537">
        <w:rPr>
          <w:rFonts w:cs="Times New Roman"/>
        </w:rPr>
        <w:t xml:space="preserve"> In this way, Antoninus differs from Parthenius, most of whose entries are connected to the previous with a </w:t>
      </w:r>
      <w:r w:rsidRPr="00621537">
        <w:rPr>
          <w:rFonts w:cs="Times New Roman"/>
          <w:lang w:val="en-US"/>
        </w:rPr>
        <w:t>δέ, giving the i</w:t>
      </w:r>
      <w:r w:rsidRPr="00621537">
        <w:rPr>
          <w:rFonts w:cs="Times New Roman"/>
        </w:rPr>
        <w:t xml:space="preserve">mpression of a more continuous experience of reading. </w:t>
      </w:r>
    </w:p>
  </w:footnote>
  <w:footnote w:id="35">
    <w:p w14:paraId="57A4B6F4" w14:textId="77777777" w:rsidR="00744B08" w:rsidRPr="00621537" w:rsidRDefault="00744B08" w:rsidP="000B40D3">
      <w:pPr>
        <w:spacing w:after="0" w:line="276" w:lineRule="auto"/>
        <w:jc w:val="both"/>
        <w:rPr>
          <w:rFonts w:cs="Times New Roman"/>
        </w:rPr>
      </w:pPr>
      <w:r w:rsidRPr="00621537">
        <w:rPr>
          <w:rStyle w:val="FootnoteReference"/>
          <w:rFonts w:cs="Times New Roman"/>
        </w:rPr>
        <w:footnoteRef/>
      </w:r>
      <w:r w:rsidRPr="00621537">
        <w:rPr>
          <w:rFonts w:cs="Times New Roman"/>
        </w:rPr>
        <w:t xml:space="preserve"> The first table of contents is an incomplete list of entries featuring avian metamorphoses. We do not discuss it in this article.</w:t>
      </w:r>
    </w:p>
  </w:footnote>
  <w:footnote w:id="36">
    <w:p w14:paraId="650B972A" w14:textId="77777777" w:rsidR="00744B08" w:rsidRPr="00621537" w:rsidRDefault="00744B08" w:rsidP="000B40D3">
      <w:pPr>
        <w:pStyle w:val="FootnoteText"/>
        <w:spacing w:line="276" w:lineRule="auto"/>
        <w:jc w:val="both"/>
        <w:rPr>
          <w:rFonts w:cs="Times New Roman"/>
        </w:rPr>
      </w:pPr>
      <w:r w:rsidRPr="00621537">
        <w:rPr>
          <w:rStyle w:val="FootnoteReference"/>
          <w:rFonts w:cs="Times New Roman"/>
        </w:rPr>
        <w:footnoteRef/>
      </w:r>
      <w:r w:rsidRPr="00621537">
        <w:rPr>
          <w:rFonts w:cs="Times New Roman"/>
        </w:rPr>
        <w:t xml:space="preserve"> For myth(ograph)ic ‘islands of knowledge’, see Clarke (2017) 19–21; Delattre (2017a) 279–80. </w:t>
      </w:r>
    </w:p>
  </w:footnote>
  <w:footnote w:id="37">
    <w:p w14:paraId="08B30F03" w14:textId="77777777" w:rsidR="00744B08" w:rsidRPr="00621537" w:rsidRDefault="00744B08" w:rsidP="000B40D3">
      <w:pPr>
        <w:spacing w:after="0" w:line="276" w:lineRule="auto"/>
        <w:jc w:val="both"/>
        <w:rPr>
          <w:rFonts w:cs="Times New Roman"/>
        </w:rPr>
      </w:pPr>
      <w:r w:rsidRPr="00621537">
        <w:rPr>
          <w:rStyle w:val="FootnoteReference"/>
          <w:rFonts w:cs="Times New Roman"/>
        </w:rPr>
        <w:footnoteRef/>
      </w:r>
      <w:r w:rsidRPr="00621537">
        <w:rPr>
          <w:rFonts w:cs="Times New Roman"/>
        </w:rPr>
        <w:t xml:space="preserve"> These dots and dashes – ignored in all editions since the </w:t>
      </w:r>
      <w:r w:rsidRPr="00621537">
        <w:rPr>
          <w:rFonts w:cs="Times New Roman"/>
          <w:i/>
          <w:iCs/>
        </w:rPr>
        <w:t xml:space="preserve">editio princeps </w:t>
      </w:r>
      <w:r w:rsidRPr="00621537">
        <w:rPr>
          <w:rFonts w:cs="Times New Roman"/>
        </w:rPr>
        <w:t xml:space="preserve">– do not align strictly with the syntax but rather </w:t>
      </w:r>
      <w:r w:rsidRPr="00621537">
        <w:rPr>
          <w:rStyle w:val="FootnoteTextChar"/>
          <w:rFonts w:cs="Times New Roman"/>
        </w:rPr>
        <w:t>seem intended to help the reader breathe with regularity. For example, §5 is punctuated as follows in the manuscript (a short dash in our text indicates a dot in the manuscript; a long dash indicates such a dot combined with a dash in the margin of the manuscript):</w:t>
      </w:r>
    </w:p>
    <w:p w14:paraId="58539704" w14:textId="28D4DA3D" w:rsidR="00744B08" w:rsidRPr="00621537" w:rsidRDefault="00744B08" w:rsidP="000B40D3">
      <w:pPr>
        <w:pStyle w:val="FootnoteText"/>
        <w:spacing w:line="276" w:lineRule="auto"/>
        <w:jc w:val="both"/>
        <w:rPr>
          <w:rFonts w:cs="Times New Roman"/>
        </w:rPr>
      </w:pPr>
      <w:r w:rsidRPr="00621537">
        <w:rPr>
          <w:rFonts w:cs="Times New Roman"/>
        </w:rPr>
        <w:t xml:space="preserve">(5.1) </w:t>
      </w:r>
      <w:r w:rsidRPr="00621537">
        <w:rPr>
          <w:rFonts w:cs="Times New Roman"/>
          <w:lang w:val="fr-FR"/>
        </w:rPr>
        <w:t>Ἀνθέως</w:t>
      </w:r>
      <w:r w:rsidRPr="00621537">
        <w:rPr>
          <w:rFonts w:cs="Times New Roman"/>
        </w:rPr>
        <w:t xml:space="preserve"> </w:t>
      </w:r>
      <w:r w:rsidRPr="00621537">
        <w:rPr>
          <w:rFonts w:cs="Times New Roman"/>
          <w:lang w:val="fr-FR"/>
        </w:rPr>
        <w:t>τοῦ</w:t>
      </w:r>
      <w:r w:rsidRPr="00621537">
        <w:rPr>
          <w:rFonts w:cs="Times New Roman"/>
        </w:rPr>
        <w:t xml:space="preserve"> </w:t>
      </w:r>
      <w:r w:rsidRPr="00621537">
        <w:rPr>
          <w:rFonts w:cs="Times New Roman"/>
          <w:lang w:val="fr-FR"/>
        </w:rPr>
        <w:t>Νομίονος</w:t>
      </w:r>
      <w:r w:rsidRPr="00621537">
        <w:rPr>
          <w:rFonts w:cs="Times New Roman"/>
        </w:rPr>
        <w:t xml:space="preserve"> </w:t>
      </w:r>
      <w:r w:rsidRPr="00621537">
        <w:rPr>
          <w:rFonts w:cs="Times New Roman"/>
          <w:lang w:val="fr-FR"/>
        </w:rPr>
        <w:t>ἐγένετο</w:t>
      </w:r>
      <w:r w:rsidRPr="00621537">
        <w:rPr>
          <w:rFonts w:cs="Times New Roman"/>
        </w:rPr>
        <w:t xml:space="preserve"> </w:t>
      </w:r>
      <w:r w:rsidRPr="00621537">
        <w:rPr>
          <w:rFonts w:cs="Times New Roman"/>
          <w:lang w:val="fr-FR"/>
        </w:rPr>
        <w:t>παῖς</w:t>
      </w:r>
      <w:r w:rsidRPr="00621537">
        <w:rPr>
          <w:rFonts w:cs="Times New Roman"/>
        </w:rPr>
        <w:t xml:space="preserve"> </w:t>
      </w:r>
      <w:r w:rsidRPr="00621537">
        <w:rPr>
          <w:rFonts w:cs="Times New Roman"/>
          <w:lang w:val="fr-FR"/>
        </w:rPr>
        <w:t>Αἰγυπιός·</w:t>
      </w:r>
      <w:r w:rsidRPr="00621537">
        <w:rPr>
          <w:rFonts w:cs="Times New Roman"/>
        </w:rPr>
        <w:t xml:space="preserve"> </w:t>
      </w:r>
      <w:r w:rsidRPr="00621537">
        <w:rPr>
          <w:rFonts w:cs="Times New Roman"/>
          <w:lang w:val="fr-FR"/>
        </w:rPr>
        <w:t>ᾤκει</w:t>
      </w:r>
      <w:r w:rsidRPr="00621537">
        <w:rPr>
          <w:rFonts w:cs="Times New Roman"/>
        </w:rPr>
        <w:t xml:space="preserve"> </w:t>
      </w:r>
      <w:r w:rsidRPr="00621537">
        <w:rPr>
          <w:rFonts w:cs="Times New Roman"/>
          <w:lang w:val="fr-FR"/>
        </w:rPr>
        <w:t>δὲ</w:t>
      </w:r>
      <w:r w:rsidRPr="00621537">
        <w:rPr>
          <w:rFonts w:cs="Times New Roman"/>
        </w:rPr>
        <w:t xml:space="preserve"> </w:t>
      </w:r>
      <w:r w:rsidRPr="00621537">
        <w:rPr>
          <w:rFonts w:cs="Times New Roman"/>
          <w:lang w:val="fr-FR"/>
        </w:rPr>
        <w:t>παρὰ</w:t>
      </w:r>
      <w:r w:rsidRPr="00621537">
        <w:rPr>
          <w:rFonts w:cs="Times New Roman"/>
        </w:rPr>
        <w:t xml:space="preserve"> </w:t>
      </w:r>
      <w:r w:rsidRPr="00621537">
        <w:rPr>
          <w:rFonts w:cs="Times New Roman"/>
          <w:lang w:val="fr-FR"/>
        </w:rPr>
        <w:t>τὴν</w:t>
      </w:r>
      <w:r w:rsidRPr="00621537">
        <w:rPr>
          <w:rFonts w:cs="Times New Roman"/>
        </w:rPr>
        <w:t xml:space="preserve"> </w:t>
      </w:r>
      <w:r w:rsidRPr="00621537">
        <w:rPr>
          <w:rFonts w:cs="Times New Roman"/>
          <w:lang w:val="fr-FR"/>
        </w:rPr>
        <w:t>ἐσχατιὰν</w:t>
      </w:r>
      <w:r w:rsidRPr="00621537">
        <w:rPr>
          <w:rFonts w:cs="Times New Roman"/>
        </w:rPr>
        <w:t xml:space="preserve"> </w:t>
      </w:r>
      <w:r w:rsidRPr="00621537">
        <w:rPr>
          <w:rFonts w:cs="Times New Roman"/>
          <w:lang w:val="fr-FR"/>
        </w:rPr>
        <w:t>τῆς</w:t>
      </w:r>
      <w:r w:rsidRPr="00621537">
        <w:rPr>
          <w:rFonts w:cs="Times New Roman"/>
        </w:rPr>
        <w:t xml:space="preserve"> </w:t>
      </w:r>
      <w:r w:rsidRPr="00621537">
        <w:rPr>
          <w:rFonts w:cs="Times New Roman"/>
          <w:lang w:val="fr-FR"/>
        </w:rPr>
        <w:t>Θεσσαλίας</w:t>
      </w:r>
      <w:r w:rsidRPr="00621537">
        <w:rPr>
          <w:rFonts w:cs="Times New Roman"/>
        </w:rPr>
        <w:t xml:space="preserve"> - </w:t>
      </w:r>
      <w:r w:rsidRPr="00621537">
        <w:rPr>
          <w:rFonts w:cs="Times New Roman"/>
          <w:lang w:val="fr-FR"/>
        </w:rPr>
        <w:t>καὶ</w:t>
      </w:r>
      <w:r w:rsidRPr="00621537">
        <w:rPr>
          <w:rFonts w:cs="Times New Roman"/>
        </w:rPr>
        <w:t xml:space="preserve"> </w:t>
      </w:r>
      <w:r w:rsidRPr="00621537">
        <w:rPr>
          <w:rFonts w:cs="Times New Roman"/>
          <w:lang w:val="fr-FR"/>
        </w:rPr>
        <w:t>αὐτὸν</w:t>
      </w:r>
      <w:r w:rsidRPr="00621537">
        <w:rPr>
          <w:rFonts w:cs="Times New Roman"/>
        </w:rPr>
        <w:t xml:space="preserve"> </w:t>
      </w:r>
      <w:r w:rsidRPr="00621537">
        <w:rPr>
          <w:rFonts w:cs="Times New Roman"/>
          <w:lang w:val="fr-FR"/>
        </w:rPr>
        <w:t>ἐφίλησαν</w:t>
      </w:r>
      <w:r w:rsidRPr="00621537">
        <w:rPr>
          <w:rFonts w:cs="Times New Roman"/>
        </w:rPr>
        <w:t xml:space="preserve"> </w:t>
      </w:r>
      <w:r w:rsidRPr="00621537">
        <w:rPr>
          <w:rFonts w:cs="Times New Roman"/>
          <w:lang w:val="fr-FR"/>
        </w:rPr>
        <w:t>θεοὶ</w:t>
      </w:r>
      <w:r w:rsidRPr="00621537">
        <w:rPr>
          <w:rFonts w:cs="Times New Roman"/>
        </w:rPr>
        <w:t xml:space="preserve"> - </w:t>
      </w:r>
      <w:r w:rsidRPr="00621537">
        <w:rPr>
          <w:rFonts w:cs="Times New Roman"/>
          <w:lang w:val="fr-FR"/>
        </w:rPr>
        <w:t>ὁσιότητος</w:t>
      </w:r>
      <w:r w:rsidRPr="00621537">
        <w:rPr>
          <w:rFonts w:cs="Times New Roman"/>
        </w:rPr>
        <w:t xml:space="preserve"> </w:t>
      </w:r>
      <w:r w:rsidRPr="00621537">
        <w:rPr>
          <w:rFonts w:cs="Times New Roman"/>
          <w:lang w:val="fr-FR"/>
        </w:rPr>
        <w:t>ἕνεκα</w:t>
      </w:r>
      <w:r w:rsidRPr="00621537">
        <w:rPr>
          <w:rFonts w:cs="Times New Roman"/>
        </w:rPr>
        <w:t xml:space="preserve"> - </w:t>
      </w:r>
      <w:r w:rsidRPr="00621537">
        <w:rPr>
          <w:rFonts w:cs="Times New Roman"/>
          <w:lang w:val="fr-FR"/>
        </w:rPr>
        <w:t>καὶ</w:t>
      </w:r>
      <w:r w:rsidRPr="00621537">
        <w:rPr>
          <w:rFonts w:cs="Times New Roman"/>
        </w:rPr>
        <w:t xml:space="preserve"> </w:t>
      </w:r>
      <w:r w:rsidRPr="00621537">
        <w:rPr>
          <w:rFonts w:cs="Times New Roman"/>
          <w:lang w:val="fr-FR"/>
        </w:rPr>
        <w:t>ἄνθρωποι</w:t>
      </w:r>
      <w:r w:rsidRPr="00621537">
        <w:rPr>
          <w:rFonts w:cs="Times New Roman"/>
        </w:rPr>
        <w:t xml:space="preserve"> </w:t>
      </w:r>
      <w:r w:rsidRPr="00621537">
        <w:rPr>
          <w:rFonts w:cs="Times New Roman"/>
          <w:lang w:val="fr-FR"/>
        </w:rPr>
        <w:t>ὅτι</w:t>
      </w:r>
      <w:r w:rsidRPr="00621537">
        <w:rPr>
          <w:rFonts w:cs="Times New Roman"/>
        </w:rPr>
        <w:t xml:space="preserve"> </w:t>
      </w:r>
      <w:r w:rsidRPr="00621537">
        <w:rPr>
          <w:rFonts w:cs="Times New Roman"/>
          <w:lang w:val="fr-FR"/>
        </w:rPr>
        <w:t>ἦν</w:t>
      </w:r>
      <w:r w:rsidRPr="00621537">
        <w:rPr>
          <w:rFonts w:cs="Times New Roman"/>
        </w:rPr>
        <w:t xml:space="preserve"> </w:t>
      </w:r>
      <w:r w:rsidRPr="00621537">
        <w:rPr>
          <w:rFonts w:cs="Times New Roman"/>
          <w:lang w:val="fr-FR"/>
        </w:rPr>
        <w:t>μεγαλόφρων</w:t>
      </w:r>
      <w:r w:rsidRPr="00621537">
        <w:rPr>
          <w:rFonts w:cs="Times New Roman"/>
        </w:rPr>
        <w:t xml:space="preserve"> </w:t>
      </w:r>
      <w:r w:rsidRPr="00621537">
        <w:rPr>
          <w:rFonts w:cs="Times New Roman"/>
          <w:lang w:val="fr-FR"/>
        </w:rPr>
        <w:t>καὶ</w:t>
      </w:r>
      <w:r w:rsidRPr="00621537">
        <w:rPr>
          <w:rFonts w:cs="Times New Roman"/>
        </w:rPr>
        <w:t xml:space="preserve"> </w:t>
      </w:r>
      <w:r w:rsidRPr="00621537">
        <w:rPr>
          <w:rFonts w:cs="Times New Roman"/>
          <w:lang w:val="fr-FR"/>
        </w:rPr>
        <w:t>δίκαιος</w:t>
      </w:r>
      <w:r w:rsidRPr="00621537">
        <w:rPr>
          <w:rFonts w:cs="Times New Roman"/>
        </w:rPr>
        <w:t>. —</w:t>
      </w:r>
      <w:r>
        <w:rPr>
          <w:rFonts w:cs="Times New Roman"/>
        </w:rPr>
        <w:t xml:space="preserve"> </w:t>
      </w:r>
      <w:r w:rsidRPr="00621537">
        <w:rPr>
          <w:rFonts w:cs="Times New Roman"/>
        </w:rPr>
        <w:t xml:space="preserve">(5.2) </w:t>
      </w:r>
      <w:r w:rsidRPr="00621537">
        <w:rPr>
          <w:rFonts w:cs="Times New Roman"/>
          <w:lang w:val="fr-FR"/>
        </w:rPr>
        <w:t>οὗτος</w:t>
      </w:r>
      <w:r w:rsidRPr="00621537">
        <w:rPr>
          <w:rFonts w:cs="Times New Roman"/>
        </w:rPr>
        <w:t xml:space="preserve"> </w:t>
      </w:r>
      <w:r w:rsidRPr="00621537">
        <w:rPr>
          <w:rFonts w:cs="Times New Roman"/>
          <w:lang w:val="fr-FR"/>
        </w:rPr>
        <w:t>ἰδὼν</w:t>
      </w:r>
      <w:r w:rsidRPr="00621537">
        <w:rPr>
          <w:rFonts w:cs="Times New Roman"/>
        </w:rPr>
        <w:t xml:space="preserve"> </w:t>
      </w:r>
      <w:r w:rsidRPr="00621537">
        <w:rPr>
          <w:rFonts w:cs="Times New Roman"/>
          <w:lang w:val="fr-FR"/>
        </w:rPr>
        <w:t>Τιμάνδρην</w:t>
      </w:r>
      <w:r w:rsidRPr="00621537">
        <w:rPr>
          <w:rFonts w:cs="Times New Roman"/>
        </w:rPr>
        <w:t xml:space="preserve"> - </w:t>
      </w:r>
      <w:r w:rsidRPr="00621537">
        <w:rPr>
          <w:rFonts w:cs="Times New Roman"/>
          <w:lang w:val="fr-FR"/>
        </w:rPr>
        <w:t>ἠράσθη·</w:t>
      </w:r>
      <w:r w:rsidRPr="00621537">
        <w:rPr>
          <w:rFonts w:cs="Times New Roman"/>
        </w:rPr>
        <w:t xml:space="preserve"> </w:t>
      </w:r>
      <w:r w:rsidRPr="00621537">
        <w:rPr>
          <w:rFonts w:cs="Times New Roman"/>
          <w:lang w:val="fr-FR"/>
        </w:rPr>
        <w:t>μαθὼν</w:t>
      </w:r>
      <w:r w:rsidRPr="00621537">
        <w:rPr>
          <w:rFonts w:cs="Times New Roman"/>
        </w:rPr>
        <w:t xml:space="preserve"> </w:t>
      </w:r>
      <w:r w:rsidRPr="00621537">
        <w:rPr>
          <w:rFonts w:cs="Times New Roman"/>
          <w:lang w:val="fr-FR"/>
        </w:rPr>
        <w:t>δ᾿</w:t>
      </w:r>
      <w:r w:rsidR="00D3306C" w:rsidRPr="00633945">
        <w:rPr>
          <w:rFonts w:cs="Times New Roman"/>
        </w:rPr>
        <w:t xml:space="preserve"> </w:t>
      </w:r>
      <w:r w:rsidRPr="00621537">
        <w:rPr>
          <w:rFonts w:cs="Times New Roman"/>
          <w:lang w:val="fr-FR"/>
        </w:rPr>
        <w:t>ὅτι</w:t>
      </w:r>
      <w:r w:rsidRPr="00621537">
        <w:rPr>
          <w:rFonts w:cs="Times New Roman"/>
        </w:rPr>
        <w:t xml:space="preserve"> </w:t>
      </w:r>
      <w:r w:rsidRPr="00621537">
        <w:rPr>
          <w:rFonts w:cs="Times New Roman"/>
          <w:lang w:val="fr-FR"/>
        </w:rPr>
        <w:t>ἀνδρὸς</w:t>
      </w:r>
      <w:r w:rsidRPr="00621537">
        <w:rPr>
          <w:rFonts w:cs="Times New Roman"/>
        </w:rPr>
        <w:t xml:space="preserve"> </w:t>
      </w:r>
      <w:r w:rsidRPr="00621537">
        <w:rPr>
          <w:rFonts w:cs="Times New Roman"/>
          <w:lang w:val="fr-FR"/>
        </w:rPr>
        <w:t>ἦν</w:t>
      </w:r>
      <w:r w:rsidRPr="00621537">
        <w:rPr>
          <w:rFonts w:cs="Times New Roman"/>
        </w:rPr>
        <w:t xml:space="preserve"> </w:t>
      </w:r>
      <w:r w:rsidRPr="00621537">
        <w:rPr>
          <w:rFonts w:cs="Times New Roman"/>
          <w:lang w:val="fr-FR"/>
        </w:rPr>
        <w:t>χήρα</w:t>
      </w:r>
      <w:r w:rsidRPr="00621537">
        <w:rPr>
          <w:rFonts w:cs="Times New Roman"/>
        </w:rPr>
        <w:t xml:space="preserve"> - </w:t>
      </w:r>
      <w:r w:rsidRPr="00621537">
        <w:rPr>
          <w:rFonts w:cs="Times New Roman"/>
          <w:lang w:val="fr-FR"/>
        </w:rPr>
        <w:t>πείσας</w:t>
      </w:r>
      <w:r w:rsidRPr="00621537">
        <w:rPr>
          <w:rFonts w:cs="Times New Roman"/>
        </w:rPr>
        <w:t xml:space="preserve"> </w:t>
      </w:r>
      <w:r w:rsidRPr="00621537">
        <w:rPr>
          <w:rFonts w:cs="Times New Roman"/>
          <w:lang w:val="fr-FR"/>
        </w:rPr>
        <w:t>χρήμασιν</w:t>
      </w:r>
      <w:r w:rsidRPr="00621537">
        <w:rPr>
          <w:rFonts w:cs="Times New Roman"/>
        </w:rPr>
        <w:t xml:space="preserve"> </w:t>
      </w:r>
      <w:r w:rsidRPr="00621537">
        <w:rPr>
          <w:rFonts w:cs="Times New Roman"/>
          <w:lang w:val="fr-FR"/>
        </w:rPr>
        <w:t>ἐμίγνυτο</w:t>
      </w:r>
      <w:r w:rsidRPr="00621537">
        <w:rPr>
          <w:rFonts w:cs="Times New Roman"/>
        </w:rPr>
        <w:t xml:space="preserve"> </w:t>
      </w:r>
      <w:r w:rsidRPr="00621537">
        <w:rPr>
          <w:rFonts w:cs="Times New Roman"/>
          <w:lang w:val="fr-FR"/>
        </w:rPr>
        <w:t>φοιτῶν</w:t>
      </w:r>
      <w:r w:rsidRPr="00621537">
        <w:rPr>
          <w:rFonts w:cs="Times New Roman"/>
        </w:rPr>
        <w:t xml:space="preserve"> </w:t>
      </w:r>
      <w:r w:rsidRPr="00621537">
        <w:rPr>
          <w:rFonts w:cs="Times New Roman"/>
          <w:lang w:val="fr-FR"/>
        </w:rPr>
        <w:t>εἰς</w:t>
      </w:r>
      <w:r w:rsidRPr="00621537">
        <w:rPr>
          <w:rFonts w:cs="Times New Roman"/>
        </w:rPr>
        <w:t xml:space="preserve"> </w:t>
      </w:r>
      <w:r w:rsidRPr="00621537">
        <w:rPr>
          <w:rFonts w:cs="Times New Roman"/>
          <w:lang w:val="fr-FR"/>
        </w:rPr>
        <w:t>τὰ</w:t>
      </w:r>
      <w:r w:rsidRPr="00621537">
        <w:rPr>
          <w:rFonts w:cs="Times New Roman"/>
        </w:rPr>
        <w:t xml:space="preserve"> </w:t>
      </w:r>
      <w:r w:rsidRPr="00621537">
        <w:rPr>
          <w:rFonts w:cs="Times New Roman"/>
          <w:lang w:val="fr-FR"/>
        </w:rPr>
        <w:t>ἐκείνης</w:t>
      </w:r>
      <w:r w:rsidRPr="00621537">
        <w:rPr>
          <w:rFonts w:cs="Times New Roman"/>
        </w:rPr>
        <w:t xml:space="preserve"> </w:t>
      </w:r>
      <w:r w:rsidRPr="00621537">
        <w:rPr>
          <w:rFonts w:cs="Times New Roman"/>
          <w:lang w:val="fr-FR"/>
        </w:rPr>
        <w:t>οἰκεῖα</w:t>
      </w:r>
      <w:r w:rsidRPr="00621537">
        <w:rPr>
          <w:rFonts w:cs="Times New Roman"/>
        </w:rPr>
        <w:t xml:space="preserve">. — </w:t>
      </w:r>
      <w:r w:rsidRPr="00621537">
        <w:rPr>
          <w:rFonts w:cs="Times New Roman"/>
          <w:lang w:val="fr-FR"/>
        </w:rPr>
        <w:t>πρὸς</w:t>
      </w:r>
      <w:r w:rsidRPr="00621537">
        <w:rPr>
          <w:rFonts w:cs="Times New Roman"/>
        </w:rPr>
        <w:t xml:space="preserve"> </w:t>
      </w:r>
      <w:r w:rsidRPr="00621537">
        <w:rPr>
          <w:rFonts w:cs="Times New Roman"/>
          <w:lang w:val="fr-FR"/>
        </w:rPr>
        <w:t>δὲ</w:t>
      </w:r>
      <w:r w:rsidRPr="00621537">
        <w:rPr>
          <w:rFonts w:cs="Times New Roman"/>
        </w:rPr>
        <w:t xml:space="preserve"> </w:t>
      </w:r>
      <w:r w:rsidRPr="00621537">
        <w:rPr>
          <w:rFonts w:cs="Times New Roman"/>
          <w:lang w:val="fr-FR"/>
        </w:rPr>
        <w:t>τοῦτο</w:t>
      </w:r>
      <w:r w:rsidR="00D3306C" w:rsidRPr="00633945">
        <w:rPr>
          <w:rFonts w:cs="Times New Roman"/>
        </w:rPr>
        <w:t xml:space="preserve"> </w:t>
      </w:r>
      <w:r w:rsidRPr="00621537">
        <w:rPr>
          <w:rFonts w:cs="Times New Roman"/>
        </w:rPr>
        <w:t>…</w:t>
      </w:r>
    </w:p>
  </w:footnote>
  <w:footnote w:id="38">
    <w:p w14:paraId="19D565BF" w14:textId="77777777" w:rsidR="00744B08" w:rsidRPr="00621537" w:rsidRDefault="00744B08" w:rsidP="000B40D3">
      <w:pPr>
        <w:pStyle w:val="FootnoteText"/>
        <w:rPr>
          <w:rFonts w:cs="Times New Roman"/>
        </w:rPr>
      </w:pPr>
      <w:r w:rsidRPr="00621537">
        <w:rPr>
          <w:rStyle w:val="FootnoteReference"/>
          <w:rFonts w:cs="Times New Roman"/>
        </w:rPr>
        <w:footnoteRef/>
      </w:r>
      <w:r w:rsidRPr="00621537">
        <w:rPr>
          <w:rFonts w:cs="Times New Roman"/>
        </w:rPr>
        <w:t xml:space="preserve"> For evidence and discussion of tables of contents as used in antiquity, see Riggsby (2007); Gibson (2014).</w:t>
      </w:r>
    </w:p>
  </w:footnote>
  <w:footnote w:id="39">
    <w:p w14:paraId="2AAD1C71" w14:textId="08C5309A" w:rsidR="00744B08" w:rsidRPr="00621537" w:rsidRDefault="00744B08" w:rsidP="000B40D3">
      <w:pPr>
        <w:pStyle w:val="FootnoteText"/>
        <w:rPr>
          <w:rFonts w:cs="Times New Roman"/>
        </w:rPr>
      </w:pPr>
      <w:r w:rsidRPr="00621537">
        <w:rPr>
          <w:rStyle w:val="FootnoteReference"/>
          <w:rFonts w:cs="Times New Roman"/>
        </w:rPr>
        <w:footnoteRef/>
      </w:r>
      <w:r w:rsidRPr="00621537">
        <w:rPr>
          <w:rFonts w:cs="Times New Roman"/>
        </w:rPr>
        <w:t xml:space="preserve"> Unsurprisingly, this dynamic is most often recognized in relation to geographical texts. Thus, Alcock (1996) 249: ‘Moving through space, [Pausanias] creates the entire terrain the reader too travels’; and</w:t>
      </w:r>
      <w:r>
        <w:rPr>
          <w:rFonts w:cs="Times New Roman"/>
        </w:rPr>
        <w:t xml:space="preserve"> </w:t>
      </w:r>
      <w:r w:rsidRPr="00621537">
        <w:rPr>
          <w:rFonts w:cs="Times New Roman"/>
        </w:rPr>
        <w:t xml:space="preserve">Scott (2013) 157 ‘[The] reader is forced to discover parts of that construct [of space] as he travels along with Strabo in his </w:t>
      </w:r>
      <w:r w:rsidRPr="00621537">
        <w:rPr>
          <w:rFonts w:cs="Times New Roman"/>
          <w:i/>
        </w:rPr>
        <w:t xml:space="preserve">periplous </w:t>
      </w:r>
      <w:r w:rsidRPr="00621537">
        <w:rPr>
          <w:rFonts w:cs="Times New Roman"/>
        </w:rPr>
        <w:t xml:space="preserve">journey around the </w:t>
      </w:r>
      <w:r w:rsidRPr="00621537">
        <w:rPr>
          <w:rFonts w:cs="Times New Roman"/>
          <w:i/>
        </w:rPr>
        <w:t xml:space="preserve">oikoumene. </w:t>
      </w:r>
      <w:r w:rsidRPr="00621537">
        <w:rPr>
          <w:rFonts w:cs="Times New Roman"/>
        </w:rPr>
        <w:t>Learning is hodological; it is a process, a journey.’ See also Hawes (2018).</w:t>
      </w:r>
    </w:p>
  </w:footnote>
  <w:footnote w:id="40">
    <w:p w14:paraId="4E28DC8A" w14:textId="77777777" w:rsidR="00744B08" w:rsidRPr="00621537" w:rsidRDefault="00744B08" w:rsidP="000B40D3">
      <w:pPr>
        <w:pStyle w:val="FootnoteText"/>
        <w:spacing w:line="276" w:lineRule="auto"/>
        <w:jc w:val="both"/>
        <w:rPr>
          <w:rFonts w:cs="Times New Roman"/>
        </w:rPr>
      </w:pPr>
      <w:r w:rsidRPr="00621537">
        <w:rPr>
          <w:rStyle w:val="FootnoteReference"/>
          <w:rFonts w:cs="Times New Roman"/>
        </w:rPr>
        <w:footnoteRef/>
      </w:r>
      <w:r w:rsidRPr="00621537">
        <w:rPr>
          <w:rFonts w:cs="Times New Roman"/>
        </w:rPr>
        <w:t xml:space="preserve"> The Artemisium on Ceos is attested by two inscriptions, IG, XII, 5, nos. 617 and 618.</w:t>
      </w:r>
    </w:p>
  </w:footnote>
  <w:footnote w:id="41">
    <w:p w14:paraId="10A16A89" w14:textId="0F4A8C01" w:rsidR="00744B08" w:rsidRPr="00621537" w:rsidRDefault="00744B08" w:rsidP="000B40D3">
      <w:pPr>
        <w:pStyle w:val="FootnoteText"/>
        <w:spacing w:line="276" w:lineRule="auto"/>
        <w:jc w:val="both"/>
        <w:rPr>
          <w:rFonts w:cs="Times New Roman"/>
        </w:rPr>
      </w:pPr>
      <w:r w:rsidRPr="00621537">
        <w:rPr>
          <w:rStyle w:val="FootnoteReference"/>
          <w:rFonts w:cs="Times New Roman"/>
        </w:rPr>
        <w:footnoteRef/>
      </w:r>
      <w:r w:rsidRPr="00621537">
        <w:rPr>
          <w:rFonts w:cs="Times New Roman"/>
        </w:rPr>
        <w:t xml:space="preserve"> For this phenomenon in relation to Imperial mythography, see Delattre (2017a); and Fletcher (2008) 66, who argues that ‘Apollodorus’ system [of inclusion and exclusion from genealogies] places the people of the ancient Mediterranean and Near East on a conceptual map that reflects not geography but perceived closeness of relation; these genealogical relations reveal the perceived importance of these foreign peoples</w:t>
      </w:r>
      <w:r>
        <w:rPr>
          <w:rFonts w:cs="Times New Roman"/>
        </w:rPr>
        <w:t>.</w:t>
      </w:r>
      <w:r w:rsidRPr="00621537">
        <w:rPr>
          <w:rFonts w:cs="Times New Roman"/>
        </w:rPr>
        <w:t xml:space="preserve">’ Harrison (2002) argues for the literary resonances of toponyms in Apuleius’ </w:t>
      </w:r>
      <w:r w:rsidRPr="00621537">
        <w:rPr>
          <w:rFonts w:cs="Times New Roman"/>
          <w:i/>
        </w:rPr>
        <w:t xml:space="preserve">Metamorphoses, </w:t>
      </w:r>
      <w:r w:rsidRPr="00621537">
        <w:rPr>
          <w:rFonts w:cs="Times New Roman"/>
        </w:rPr>
        <w:t xml:space="preserve">and perhaps in its Greek source. Quite separate – but relevant – issues pertain to the nature of mythic landscapes (see e.g. Buxton (1992); Cohen (2007); Hawes (2017)) and the interplay between geographical writing and mythography (e.g. Patterson (2013); Smith (2016); Smith (2017)). </w:t>
      </w:r>
    </w:p>
  </w:footnote>
  <w:footnote w:id="42">
    <w:p w14:paraId="1B80B96D" w14:textId="77777777" w:rsidR="00744B08" w:rsidRPr="00621537" w:rsidRDefault="00744B08" w:rsidP="000B40D3">
      <w:pPr>
        <w:spacing w:after="0" w:line="276" w:lineRule="auto"/>
        <w:jc w:val="both"/>
        <w:rPr>
          <w:rFonts w:cs="Times New Roman"/>
        </w:rPr>
      </w:pPr>
      <w:r w:rsidRPr="00621537">
        <w:rPr>
          <w:rStyle w:val="FootnoteReference"/>
          <w:rFonts w:cs="Times New Roman"/>
        </w:rPr>
        <w:footnoteRef/>
      </w:r>
      <w:r w:rsidRPr="00621537">
        <w:rPr>
          <w:rFonts w:cs="Times New Roman"/>
        </w:rPr>
        <w:t xml:space="preserve"> The term comes from Asper (2011) 162–63: ‘[Callimachus’] apparent desire to arrange the order of his stories aiming at a maximum of geographical discontinuity, albeit within the old Greek world. Readers [of the </w:t>
      </w:r>
      <w:r w:rsidRPr="00621537">
        <w:rPr>
          <w:rFonts w:cs="Times New Roman"/>
          <w:i/>
        </w:rPr>
        <w:t>Aitia</w:t>
      </w:r>
      <w:r w:rsidRPr="00621537">
        <w:rPr>
          <w:rFonts w:cs="Times New Roman"/>
        </w:rPr>
        <w:t>] would have experienced a notion of traveling through geographically discontinuous spaces, especially if their mental maps would have contained merely hodological concepts.’</w:t>
      </w:r>
    </w:p>
  </w:footnote>
  <w:footnote w:id="43">
    <w:p w14:paraId="34565228" w14:textId="77777777" w:rsidR="00744B08" w:rsidRPr="00621537" w:rsidRDefault="00744B08" w:rsidP="000B40D3">
      <w:pPr>
        <w:pStyle w:val="FootnoteText"/>
        <w:spacing w:line="276" w:lineRule="auto"/>
        <w:jc w:val="both"/>
        <w:rPr>
          <w:rFonts w:cs="Times New Roman"/>
        </w:rPr>
      </w:pPr>
      <w:r w:rsidRPr="00621537">
        <w:rPr>
          <w:rStyle w:val="FootnoteReference"/>
          <w:rFonts w:cs="Times New Roman"/>
        </w:rPr>
        <w:footnoteRef/>
      </w:r>
      <w:r w:rsidRPr="00621537">
        <w:rPr>
          <w:rFonts w:cs="Times New Roman"/>
        </w:rPr>
        <w:t xml:space="preserve"> §1.2: ἡ μὲν οὖν Κτήσυλλα ἀπέρριψε τὸ μῆλον αἰδεσθεῖσα καὶ χαλεπῶς ἤνεγκεν, ὥσπερ ὅτε Κυδίππην Ἀκόντιος ἐξηπάτησεν.</w:t>
      </w:r>
    </w:p>
  </w:footnote>
  <w:footnote w:id="44">
    <w:p w14:paraId="6E9A8DEA" w14:textId="77777777" w:rsidR="00744B08" w:rsidRPr="00633945" w:rsidRDefault="00744B08" w:rsidP="000B40D3">
      <w:pPr>
        <w:pStyle w:val="FootnoteText"/>
        <w:rPr>
          <w:rFonts w:cs="Times New Roman"/>
          <w:lang w:val="it-IT"/>
        </w:rPr>
      </w:pPr>
      <w:r w:rsidRPr="00621537">
        <w:rPr>
          <w:rStyle w:val="FootnoteReference"/>
          <w:rFonts w:cs="Times New Roman"/>
        </w:rPr>
        <w:footnoteRef/>
      </w:r>
      <w:r w:rsidR="00D3306C" w:rsidRPr="00633945">
        <w:rPr>
          <w:rFonts w:cs="Times New Roman"/>
          <w:lang w:val="it-IT"/>
        </w:rPr>
        <w:t xml:space="preserve"> </w:t>
      </w:r>
      <w:r w:rsidR="00D3306C" w:rsidRPr="00633945">
        <w:rPr>
          <w:rFonts w:cs="Times New Roman"/>
          <w:i/>
          <w:lang w:val="it-IT"/>
        </w:rPr>
        <w:t>Aetia, fr</w:t>
      </w:r>
      <w:r w:rsidR="00D3306C" w:rsidRPr="00633945">
        <w:rPr>
          <w:rFonts w:cs="Times New Roman"/>
          <w:lang w:val="it-IT"/>
        </w:rPr>
        <w:t>. 67.4 Pfeiffer.</w:t>
      </w:r>
    </w:p>
  </w:footnote>
  <w:footnote w:id="45">
    <w:p w14:paraId="3A432B7D" w14:textId="77777777" w:rsidR="00744B08" w:rsidRPr="00633945" w:rsidRDefault="00744B08" w:rsidP="000B40D3">
      <w:pPr>
        <w:pStyle w:val="FootnoteText"/>
        <w:rPr>
          <w:rFonts w:cs="Times New Roman"/>
          <w:lang w:val="it-IT"/>
        </w:rPr>
      </w:pPr>
      <w:r w:rsidRPr="00621537">
        <w:rPr>
          <w:rStyle w:val="FootnoteReference"/>
          <w:rFonts w:cs="Times New Roman"/>
        </w:rPr>
        <w:footnoteRef/>
      </w:r>
      <w:r w:rsidR="00D3306C" w:rsidRPr="00633945">
        <w:rPr>
          <w:rFonts w:cs="Times New Roman"/>
          <w:lang w:val="it-IT"/>
        </w:rPr>
        <w:t xml:space="preserve"> </w:t>
      </w:r>
      <w:r w:rsidR="00D3306C" w:rsidRPr="00633945">
        <w:rPr>
          <w:rFonts w:cs="Times New Roman"/>
          <w:i/>
          <w:lang w:val="it-IT"/>
        </w:rPr>
        <w:t>Aetia</w:t>
      </w:r>
      <w:r w:rsidR="00D3306C" w:rsidRPr="00633945">
        <w:rPr>
          <w:rFonts w:cs="Times New Roman"/>
          <w:lang w:val="it-IT"/>
        </w:rPr>
        <w:t xml:space="preserve">, </w:t>
      </w:r>
      <w:r w:rsidR="00D3306C" w:rsidRPr="00633945">
        <w:rPr>
          <w:rFonts w:cs="Times New Roman"/>
          <w:i/>
          <w:lang w:val="it-IT"/>
        </w:rPr>
        <w:t>fr</w:t>
      </w:r>
      <w:r w:rsidR="00D3306C" w:rsidRPr="00633945">
        <w:rPr>
          <w:rFonts w:cs="Times New Roman"/>
          <w:lang w:val="it-IT"/>
        </w:rPr>
        <w:t>. 75 Pfeiffer.</w:t>
      </w:r>
    </w:p>
  </w:footnote>
  <w:footnote w:id="46">
    <w:p w14:paraId="3DE84063" w14:textId="77777777" w:rsidR="00744B08" w:rsidRPr="00621537" w:rsidRDefault="00744B08" w:rsidP="000B40D3">
      <w:pPr>
        <w:pStyle w:val="FootnoteText"/>
        <w:rPr>
          <w:rFonts w:cs="Times New Roman"/>
        </w:rPr>
      </w:pPr>
      <w:r w:rsidRPr="00621537">
        <w:rPr>
          <w:rStyle w:val="FootnoteReference"/>
          <w:rFonts w:cs="Times New Roman"/>
        </w:rPr>
        <w:footnoteRef/>
      </w:r>
      <w:r w:rsidRPr="00621537">
        <w:rPr>
          <w:rFonts w:cs="Times New Roman"/>
        </w:rPr>
        <w:t xml:space="preserve"> Lowe (2000) 23. For a hermeneutical analysis of the same process based on the formal operations of logic, see Eco (1979).</w:t>
      </w:r>
    </w:p>
  </w:footnote>
  <w:footnote w:id="47">
    <w:p w14:paraId="11FAF7F9" w14:textId="77777777" w:rsidR="00744B08" w:rsidRPr="00621537" w:rsidRDefault="00744B08" w:rsidP="000B40D3">
      <w:pPr>
        <w:pStyle w:val="FootnoteText"/>
        <w:rPr>
          <w:rFonts w:cs="Times New Roman"/>
        </w:rPr>
      </w:pPr>
      <w:r w:rsidRPr="00621537">
        <w:rPr>
          <w:rStyle w:val="FootnoteReference"/>
          <w:rFonts w:cs="Times New Roman"/>
        </w:rPr>
        <w:footnoteRef/>
      </w:r>
      <w:r w:rsidRPr="00621537">
        <w:rPr>
          <w:rFonts w:cs="Times New Roman"/>
        </w:rPr>
        <w:t xml:space="preserve"> Lowe (2000) 23.</w:t>
      </w:r>
    </w:p>
  </w:footnote>
  <w:footnote w:id="48">
    <w:p w14:paraId="6407D569" w14:textId="54A739A6" w:rsidR="00744B08" w:rsidRPr="00621537" w:rsidRDefault="00744B08" w:rsidP="000B40D3">
      <w:pPr>
        <w:spacing w:after="0" w:line="276" w:lineRule="auto"/>
        <w:jc w:val="both"/>
        <w:rPr>
          <w:rFonts w:cs="Times New Roman"/>
        </w:rPr>
      </w:pPr>
      <w:r w:rsidRPr="00621537">
        <w:rPr>
          <w:rStyle w:val="FootnoteReference"/>
          <w:rFonts w:cs="Times New Roman"/>
        </w:rPr>
        <w:footnoteRef/>
      </w:r>
      <w:r w:rsidRPr="00621537">
        <w:rPr>
          <w:rFonts w:cs="Times New Roman"/>
        </w:rPr>
        <w:t xml:space="preserve"> The second part of the text (entries 23-41) features a greater diversity of metamorphoses.</w:t>
      </w:r>
      <w:r>
        <w:rPr>
          <w:rFonts w:cs="Times New Roman"/>
        </w:rPr>
        <w:t xml:space="preserve"> </w:t>
      </w:r>
      <w:r w:rsidRPr="00621537">
        <w:rPr>
          <w:rFonts w:cs="Times New Roman"/>
        </w:rPr>
        <w:t>We have not been able to discern any particular order to them.</w:t>
      </w:r>
      <w:r>
        <w:rPr>
          <w:rFonts w:cs="Times New Roman"/>
        </w:rPr>
        <w:t xml:space="preserve"> </w:t>
      </w:r>
    </w:p>
  </w:footnote>
  <w:footnote w:id="49">
    <w:p w14:paraId="1B9301B3" w14:textId="77777777" w:rsidR="00744B08" w:rsidRPr="00621537" w:rsidRDefault="00744B08" w:rsidP="000B40D3">
      <w:pPr>
        <w:pStyle w:val="FootnoteText"/>
        <w:rPr>
          <w:rFonts w:cs="Times New Roman"/>
        </w:rPr>
      </w:pPr>
      <w:r w:rsidRPr="00621537">
        <w:rPr>
          <w:rStyle w:val="FootnoteReference"/>
          <w:rFonts w:cs="Times New Roman"/>
        </w:rPr>
        <w:footnoteRef/>
      </w:r>
      <w:r w:rsidRPr="00621537">
        <w:rPr>
          <w:rFonts w:cs="Times New Roman"/>
        </w:rPr>
        <w:t xml:space="preserve"> </w:t>
      </w:r>
      <w:r w:rsidRPr="00621537">
        <w:rPr>
          <w:rFonts w:cs="Times New Roman"/>
          <w:i/>
        </w:rPr>
        <w:t>Aetia</w:t>
      </w:r>
      <w:r w:rsidRPr="00621537">
        <w:rPr>
          <w:rFonts w:cs="Times New Roman"/>
        </w:rPr>
        <w:t xml:space="preserve"> </w:t>
      </w:r>
      <w:r w:rsidR="00D3306C" w:rsidRPr="00633945">
        <w:rPr>
          <w:rFonts w:cs="Times New Roman"/>
          <w:i/>
        </w:rPr>
        <w:t>fr</w:t>
      </w:r>
      <w:r w:rsidRPr="00621537">
        <w:rPr>
          <w:rFonts w:cs="Times New Roman"/>
        </w:rPr>
        <w:t>. 67.4.</w:t>
      </w:r>
    </w:p>
  </w:footnote>
  <w:footnote w:id="50">
    <w:p w14:paraId="71B500B9" w14:textId="77777777" w:rsidR="00744B08" w:rsidRPr="00621537" w:rsidRDefault="00744B08" w:rsidP="000B40D3">
      <w:pPr>
        <w:pStyle w:val="FootnoteText"/>
        <w:rPr>
          <w:rFonts w:cs="Times New Roman"/>
        </w:rPr>
      </w:pPr>
      <w:r w:rsidRPr="00621537">
        <w:rPr>
          <w:rStyle w:val="FootnoteReference"/>
          <w:rFonts w:cs="Times New Roman"/>
        </w:rPr>
        <w:footnoteRef/>
      </w:r>
      <w:r w:rsidRPr="00621537">
        <w:rPr>
          <w:rFonts w:cs="Times New Roman"/>
        </w:rPr>
        <w:t xml:space="preserve"> Lowe (2000) 55–59.</w:t>
      </w:r>
    </w:p>
  </w:footnote>
  <w:footnote w:id="51">
    <w:p w14:paraId="47E9AB19" w14:textId="77777777" w:rsidR="00744B08" w:rsidRPr="00621537" w:rsidRDefault="00744B08" w:rsidP="000B40D3">
      <w:pPr>
        <w:pStyle w:val="FootnoteText"/>
        <w:rPr>
          <w:rFonts w:cs="Times New Roman"/>
        </w:rPr>
      </w:pPr>
      <w:r w:rsidRPr="00621537">
        <w:rPr>
          <w:rStyle w:val="FootnoteReference"/>
          <w:rFonts w:cs="Times New Roman"/>
        </w:rPr>
        <w:footnoteRef/>
      </w:r>
      <w:r w:rsidRPr="00621537">
        <w:rPr>
          <w:rFonts w:cs="Times New Roman"/>
        </w:rPr>
        <w:t xml:space="preserve"> Lowe (2000) 60.</w:t>
      </w:r>
    </w:p>
  </w:footnote>
  <w:footnote w:id="52">
    <w:p w14:paraId="6A55BB84" w14:textId="77777777" w:rsidR="00744B08" w:rsidRPr="00621537" w:rsidRDefault="00744B08" w:rsidP="000B40D3">
      <w:pPr>
        <w:pStyle w:val="FootnoteText"/>
        <w:rPr>
          <w:rFonts w:cs="Times New Roman"/>
        </w:rPr>
      </w:pPr>
      <w:r w:rsidRPr="00621537">
        <w:rPr>
          <w:rStyle w:val="FootnoteReference"/>
          <w:rFonts w:cs="Times New Roman"/>
        </w:rPr>
        <w:footnoteRef/>
      </w:r>
      <w:r w:rsidRPr="00621537">
        <w:rPr>
          <w:rFonts w:cs="Times New Roman"/>
        </w:rPr>
        <w:t xml:space="preserve"> Lowe (2000) 227.</w:t>
      </w:r>
    </w:p>
  </w:footnote>
  <w:footnote w:id="53">
    <w:p w14:paraId="7607A432" w14:textId="77777777" w:rsidR="00744B08" w:rsidRPr="00621537" w:rsidRDefault="00744B08" w:rsidP="000B40D3">
      <w:pPr>
        <w:pStyle w:val="FootnoteText"/>
        <w:rPr>
          <w:rFonts w:cs="Times New Roman"/>
        </w:rPr>
      </w:pPr>
      <w:r w:rsidRPr="00621537">
        <w:rPr>
          <w:rStyle w:val="FootnoteReference"/>
          <w:rFonts w:cs="Times New Roman"/>
        </w:rPr>
        <w:footnoteRef/>
      </w:r>
      <w:r w:rsidRPr="00621537">
        <w:rPr>
          <w:rFonts w:cs="Times New Roman"/>
        </w:rPr>
        <w:t xml:space="preserve"> For these multiple possible intrigues, see Delattre (2017b).</w:t>
      </w:r>
    </w:p>
  </w:footnote>
  <w:footnote w:id="54">
    <w:p w14:paraId="1E330BED" w14:textId="77777777" w:rsidR="00744B08" w:rsidRPr="00621537" w:rsidRDefault="00744B08" w:rsidP="000B40D3">
      <w:pPr>
        <w:pStyle w:val="FootnoteText"/>
        <w:rPr>
          <w:rFonts w:cs="Times New Roman"/>
        </w:rPr>
      </w:pPr>
      <w:r w:rsidRPr="00621537">
        <w:rPr>
          <w:rStyle w:val="FootnoteReference"/>
          <w:rFonts w:cs="Times New Roman"/>
        </w:rPr>
        <w:footnoteRef/>
      </w:r>
      <w:r w:rsidRPr="00621537">
        <w:rPr>
          <w:rFonts w:cs="Times New Roman"/>
        </w:rPr>
        <w:t xml:space="preserve"> The absence of any attestation of the story of Ctesylla independent of Antoninus’ account has not prevented scholars from interpreting local material as connected to this myth. See, for example, the identification of a female figure on Cean coinage as Ctesylla in Papageorgiadou-Banis (1997) 89 plate 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9"/>
      <w:gridCol w:w="3009"/>
      <w:gridCol w:w="3009"/>
    </w:tblGrid>
    <w:tr w:rsidR="00744B08" w14:paraId="2C9ECB65" w14:textId="77777777">
      <w:tc>
        <w:tcPr>
          <w:tcW w:w="3009" w:type="dxa"/>
        </w:tcPr>
        <w:p w14:paraId="6E81BA09" w14:textId="77777777" w:rsidR="00744B08" w:rsidRDefault="00744B08" w:rsidP="00744B08">
          <w:pPr>
            <w:pStyle w:val="Header"/>
            <w:ind w:left="-115"/>
          </w:pPr>
        </w:p>
      </w:tc>
      <w:tc>
        <w:tcPr>
          <w:tcW w:w="3009" w:type="dxa"/>
        </w:tcPr>
        <w:p w14:paraId="01CAD30D" w14:textId="77777777" w:rsidR="00744B08" w:rsidRDefault="00744B08" w:rsidP="00744B08">
          <w:pPr>
            <w:pStyle w:val="Header"/>
            <w:jc w:val="center"/>
          </w:pPr>
        </w:p>
      </w:tc>
      <w:tc>
        <w:tcPr>
          <w:tcW w:w="3009" w:type="dxa"/>
        </w:tcPr>
        <w:p w14:paraId="5D0F3CDD" w14:textId="77777777" w:rsidR="00744B08" w:rsidRDefault="00744B08" w:rsidP="00744B08">
          <w:pPr>
            <w:pStyle w:val="Header"/>
            <w:ind w:right="-115"/>
            <w:jc w:val="right"/>
          </w:pPr>
        </w:p>
      </w:tc>
    </w:tr>
  </w:tbl>
  <w:p w14:paraId="62EDBBC1" w14:textId="77777777" w:rsidR="00744B08" w:rsidRDefault="00744B08" w:rsidP="00744B0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0D3"/>
    <w:rsid w:val="00017361"/>
    <w:rsid w:val="000204C3"/>
    <w:rsid w:val="000231EF"/>
    <w:rsid w:val="00036D9E"/>
    <w:rsid w:val="00054A14"/>
    <w:rsid w:val="00087D7F"/>
    <w:rsid w:val="0009539E"/>
    <w:rsid w:val="00095C32"/>
    <w:rsid w:val="000B40D3"/>
    <w:rsid w:val="000F79A0"/>
    <w:rsid w:val="0013513E"/>
    <w:rsid w:val="00140276"/>
    <w:rsid w:val="00155B2A"/>
    <w:rsid w:val="001D6363"/>
    <w:rsid w:val="00212F8A"/>
    <w:rsid w:val="00215405"/>
    <w:rsid w:val="00223B9B"/>
    <w:rsid w:val="00223CEE"/>
    <w:rsid w:val="002964BF"/>
    <w:rsid w:val="002B2938"/>
    <w:rsid w:val="00320DFE"/>
    <w:rsid w:val="00327959"/>
    <w:rsid w:val="00331027"/>
    <w:rsid w:val="003828FB"/>
    <w:rsid w:val="003B4362"/>
    <w:rsid w:val="003E7196"/>
    <w:rsid w:val="004055C2"/>
    <w:rsid w:val="00426DE2"/>
    <w:rsid w:val="004437DD"/>
    <w:rsid w:val="004658A0"/>
    <w:rsid w:val="00476FC7"/>
    <w:rsid w:val="004810EF"/>
    <w:rsid w:val="00491995"/>
    <w:rsid w:val="004B6949"/>
    <w:rsid w:val="004C2718"/>
    <w:rsid w:val="004E5F27"/>
    <w:rsid w:val="004F5DA1"/>
    <w:rsid w:val="00536F5D"/>
    <w:rsid w:val="00552F93"/>
    <w:rsid w:val="0058104F"/>
    <w:rsid w:val="00595239"/>
    <w:rsid w:val="005A20FA"/>
    <w:rsid w:val="005B1C9D"/>
    <w:rsid w:val="005C45C4"/>
    <w:rsid w:val="0060004F"/>
    <w:rsid w:val="00621537"/>
    <w:rsid w:val="00633945"/>
    <w:rsid w:val="00645364"/>
    <w:rsid w:val="00675F7E"/>
    <w:rsid w:val="006C5A0C"/>
    <w:rsid w:val="006D3BB2"/>
    <w:rsid w:val="006E43A1"/>
    <w:rsid w:val="0072529D"/>
    <w:rsid w:val="00744B08"/>
    <w:rsid w:val="007A08C6"/>
    <w:rsid w:val="007A4E67"/>
    <w:rsid w:val="007B7502"/>
    <w:rsid w:val="00817DBD"/>
    <w:rsid w:val="008540FC"/>
    <w:rsid w:val="00876A21"/>
    <w:rsid w:val="00890E24"/>
    <w:rsid w:val="00891DDE"/>
    <w:rsid w:val="00897535"/>
    <w:rsid w:val="008C1FAE"/>
    <w:rsid w:val="008D73F6"/>
    <w:rsid w:val="008D7DC9"/>
    <w:rsid w:val="008F181A"/>
    <w:rsid w:val="009029BC"/>
    <w:rsid w:val="009070ED"/>
    <w:rsid w:val="0095698C"/>
    <w:rsid w:val="009A06D3"/>
    <w:rsid w:val="009B1146"/>
    <w:rsid w:val="009C599F"/>
    <w:rsid w:val="009D7FB6"/>
    <w:rsid w:val="00A14012"/>
    <w:rsid w:val="00A43B69"/>
    <w:rsid w:val="00A47911"/>
    <w:rsid w:val="00A7064A"/>
    <w:rsid w:val="00A75E22"/>
    <w:rsid w:val="00A77106"/>
    <w:rsid w:val="00A800E3"/>
    <w:rsid w:val="00A8533F"/>
    <w:rsid w:val="00B14131"/>
    <w:rsid w:val="00B61BDA"/>
    <w:rsid w:val="00BD09CA"/>
    <w:rsid w:val="00BF1391"/>
    <w:rsid w:val="00C23DCB"/>
    <w:rsid w:val="00C323C4"/>
    <w:rsid w:val="00C47D34"/>
    <w:rsid w:val="00C51CDF"/>
    <w:rsid w:val="00C83C6F"/>
    <w:rsid w:val="00C87115"/>
    <w:rsid w:val="00CB08A8"/>
    <w:rsid w:val="00CC6541"/>
    <w:rsid w:val="00CE2006"/>
    <w:rsid w:val="00CE5703"/>
    <w:rsid w:val="00D11999"/>
    <w:rsid w:val="00D3306C"/>
    <w:rsid w:val="00D4220C"/>
    <w:rsid w:val="00D46393"/>
    <w:rsid w:val="00D61C2D"/>
    <w:rsid w:val="00D62638"/>
    <w:rsid w:val="00D67F70"/>
    <w:rsid w:val="00DB5CDC"/>
    <w:rsid w:val="00DE0A55"/>
    <w:rsid w:val="00DE2137"/>
    <w:rsid w:val="00DE2481"/>
    <w:rsid w:val="00E079F3"/>
    <w:rsid w:val="00E13793"/>
    <w:rsid w:val="00E20602"/>
    <w:rsid w:val="00E63E37"/>
    <w:rsid w:val="00E90392"/>
    <w:rsid w:val="00E92A91"/>
    <w:rsid w:val="00ED212D"/>
    <w:rsid w:val="00EF6F02"/>
    <w:rsid w:val="00F00EFD"/>
    <w:rsid w:val="00F37076"/>
    <w:rsid w:val="00F415CF"/>
    <w:rsid w:val="00F43D71"/>
    <w:rsid w:val="00F51820"/>
    <w:rsid w:val="00F7094D"/>
    <w:rsid w:val="00FC5F78"/>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37FE4"/>
  <w15:docId w15:val="{7C200DFC-CEA4-064F-81CF-DE3B379E6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heme="minorHAnsi" w:hAnsi="Times" w:cs="Times New Roman (Body CS)"/>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0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semiHidden/>
    <w:unhideWhenUsed/>
    <w:rsid w:val="000B40D3"/>
  </w:style>
  <w:style w:type="paragraph" w:styleId="FootnoteText">
    <w:name w:val="footnote text"/>
    <w:basedOn w:val="Normal"/>
    <w:link w:val="FootnoteTextChar"/>
    <w:uiPriority w:val="99"/>
    <w:unhideWhenUsed/>
    <w:rsid w:val="000B40D3"/>
    <w:pPr>
      <w:spacing w:after="0" w:line="240" w:lineRule="auto"/>
    </w:pPr>
  </w:style>
  <w:style w:type="character" w:customStyle="1" w:styleId="FootnoteTextChar">
    <w:name w:val="Footnote Text Char"/>
    <w:basedOn w:val="DefaultParagraphFont"/>
    <w:link w:val="FootnoteText"/>
    <w:uiPriority w:val="99"/>
    <w:rsid w:val="000B40D3"/>
    <w:rPr>
      <w:sz w:val="20"/>
      <w:szCs w:val="20"/>
    </w:rPr>
  </w:style>
  <w:style w:type="character" w:styleId="FootnoteReference">
    <w:name w:val="footnote reference"/>
    <w:basedOn w:val="DefaultParagraphFont"/>
    <w:unhideWhenUsed/>
    <w:rsid w:val="000B40D3"/>
    <w:rPr>
      <w:vertAlign w:val="superscript"/>
    </w:rPr>
  </w:style>
  <w:style w:type="character" w:styleId="CommentReference">
    <w:name w:val="annotation reference"/>
    <w:basedOn w:val="DefaultParagraphFont"/>
    <w:uiPriority w:val="99"/>
    <w:semiHidden/>
    <w:unhideWhenUsed/>
    <w:rsid w:val="000B40D3"/>
    <w:rPr>
      <w:sz w:val="16"/>
      <w:szCs w:val="16"/>
    </w:rPr>
  </w:style>
  <w:style w:type="paragraph" w:styleId="CommentText">
    <w:name w:val="annotation text"/>
    <w:basedOn w:val="Normal"/>
    <w:link w:val="CommentTextChar"/>
    <w:uiPriority w:val="99"/>
    <w:unhideWhenUsed/>
    <w:rsid w:val="000B40D3"/>
    <w:pPr>
      <w:spacing w:line="240" w:lineRule="auto"/>
    </w:pPr>
  </w:style>
  <w:style w:type="character" w:customStyle="1" w:styleId="CommentTextChar">
    <w:name w:val="Comment Text Char"/>
    <w:basedOn w:val="DefaultParagraphFont"/>
    <w:link w:val="CommentText"/>
    <w:uiPriority w:val="99"/>
    <w:rsid w:val="000B40D3"/>
    <w:rPr>
      <w:sz w:val="20"/>
      <w:szCs w:val="20"/>
    </w:rPr>
  </w:style>
  <w:style w:type="character" w:customStyle="1" w:styleId="HeaderChar">
    <w:name w:val="Header Char"/>
    <w:basedOn w:val="DefaultParagraphFont"/>
    <w:link w:val="Header"/>
    <w:uiPriority w:val="99"/>
    <w:rsid w:val="000B40D3"/>
  </w:style>
  <w:style w:type="paragraph" w:styleId="Header">
    <w:name w:val="header"/>
    <w:basedOn w:val="Normal"/>
    <w:link w:val="HeaderChar"/>
    <w:uiPriority w:val="99"/>
    <w:unhideWhenUsed/>
    <w:rsid w:val="000B40D3"/>
    <w:pPr>
      <w:tabs>
        <w:tab w:val="center" w:pos="4680"/>
        <w:tab w:val="right" w:pos="9360"/>
      </w:tabs>
      <w:spacing w:after="0" w:line="240" w:lineRule="auto"/>
    </w:pPr>
  </w:style>
  <w:style w:type="character" w:customStyle="1" w:styleId="HeaderChar1">
    <w:name w:val="Header Char1"/>
    <w:basedOn w:val="DefaultParagraphFont"/>
    <w:uiPriority w:val="99"/>
    <w:semiHidden/>
    <w:rsid w:val="000B40D3"/>
  </w:style>
  <w:style w:type="character" w:customStyle="1" w:styleId="FooterChar">
    <w:name w:val="Footer Char"/>
    <w:basedOn w:val="DefaultParagraphFont"/>
    <w:link w:val="Footer"/>
    <w:uiPriority w:val="99"/>
    <w:rsid w:val="000B40D3"/>
  </w:style>
  <w:style w:type="paragraph" w:styleId="Footer">
    <w:name w:val="footer"/>
    <w:basedOn w:val="Normal"/>
    <w:link w:val="FooterChar"/>
    <w:uiPriority w:val="99"/>
    <w:unhideWhenUsed/>
    <w:rsid w:val="000B40D3"/>
    <w:pPr>
      <w:tabs>
        <w:tab w:val="center" w:pos="4680"/>
        <w:tab w:val="right" w:pos="9360"/>
      </w:tabs>
      <w:spacing w:after="0" w:line="240" w:lineRule="auto"/>
    </w:pPr>
  </w:style>
  <w:style w:type="character" w:customStyle="1" w:styleId="FooterChar1">
    <w:name w:val="Footer Char1"/>
    <w:basedOn w:val="DefaultParagraphFont"/>
    <w:uiPriority w:val="99"/>
    <w:semiHidden/>
    <w:rsid w:val="000B40D3"/>
  </w:style>
  <w:style w:type="paragraph" w:styleId="BalloonText">
    <w:name w:val="Balloon Text"/>
    <w:basedOn w:val="Normal"/>
    <w:link w:val="BalloonTextChar"/>
    <w:uiPriority w:val="99"/>
    <w:semiHidden/>
    <w:unhideWhenUsed/>
    <w:rsid w:val="000B40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40D3"/>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21537"/>
    <w:rPr>
      <w:b/>
      <w:bCs/>
    </w:rPr>
  </w:style>
  <w:style w:type="character" w:customStyle="1" w:styleId="CommentSubjectChar">
    <w:name w:val="Comment Subject Char"/>
    <w:basedOn w:val="CommentTextChar"/>
    <w:link w:val="CommentSubject"/>
    <w:uiPriority w:val="99"/>
    <w:semiHidden/>
    <w:rsid w:val="00621537"/>
    <w:rPr>
      <w:b/>
      <w:bCs/>
      <w:sz w:val="20"/>
      <w:szCs w:val="20"/>
    </w:rPr>
  </w:style>
  <w:style w:type="paragraph" w:styleId="Revision">
    <w:name w:val="Revision"/>
    <w:hidden/>
    <w:uiPriority w:val="99"/>
    <w:semiHidden/>
    <w:rsid w:val="00E206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0120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7096</Words>
  <Characters>40452</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Greta Hawes</dc:creator>
  <cp:keywords/>
  <dc:description/>
  <cp:lastModifiedBy>Greta Hawes</cp:lastModifiedBy>
  <cp:revision>2</cp:revision>
  <dcterms:created xsi:type="dcterms:W3CDTF">2020-04-15T21:06:00Z</dcterms:created>
  <dcterms:modified xsi:type="dcterms:W3CDTF">2020-04-15T21:06:00Z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zotero-version="5.0.74"&gt;&lt;session id="aGwz1SPm"/&gt;&lt;style id="http://www.zotero.org/styles/the-journal-of-hellenic-studies" hasBibliography="1" bibliographyStyleHasBeenSet="0"/&gt;&lt;prefs&gt;&lt;pref name="fieldType" value="Field"/&gt;&lt;pref name="a</vt:lpwstr>
  </property>
  <property fmtid="{D5CDD505-2E9C-101B-9397-08002B2CF9AE}" pid="3" name="ZOTERO_PREF_2">
    <vt:lpwstr>utomaticJournalAbbreviations" value="true"/&gt;&lt;/prefs&gt;&lt;/data&gt;</vt:lpwstr>
  </property>
</Properties>
</file>